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ԳՄՃՀ-ԷԱՃԱՊՁԲ-26/04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Ճամբարակի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Գեղարքունիքի մարզ, ք. Ճամբարակ, Գ. Նժդեհի 125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летнего дизельного топлива для нужд муниципалитета Чамбарак.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Մարկոսյան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chambarak.gnumner@bk.ru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0265-2-31-33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Ճամբարակի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ԳՄՃՀ-ԷԱՃԱՊՁԲ-26/04</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Ճամբարակի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Ճամբարակի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летнего дизельного топлива для нужд муниципалитета Чамбарак.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летнего дизельного топлива для нужд муниципалитета Чамбарак.</w:t>
      </w:r>
      <w:r>
        <w:rPr>
          <w:rFonts w:ascii="Calibri" w:hAnsi="Calibri" w:cstheme="minorHAnsi"/>
          <w:b/>
          <w:lang w:val="ru-RU"/>
        </w:rPr>
        <w:t xml:space="preserve">ДЛЯ НУЖД  </w:t>
      </w:r>
      <w:r>
        <w:rPr>
          <w:rFonts w:ascii="Calibri" w:hAnsi="Calibri" w:cstheme="minorHAnsi"/>
          <w:b/>
          <w:sz w:val="24"/>
          <w:szCs w:val="24"/>
          <w:lang w:val="af-ZA"/>
        </w:rPr>
        <w:t>Ճամբարակի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ԳՄՃՀ-ԷԱՃԱՊՁԲ-26/04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chambarak.gnumner@bk.ru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летнего дизельного топлива для нужд муниципалитета Чамбарак.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15:40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Ճամբարակի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"ԳՄՃՀ-ԷԱՃԱՊՁԲ-26/04"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Ճամբարակի համայնքապետարան*(далее — Заказчик) процедуре закупок под кодом ԳՄՃՀ-ԷԱՃԱՊՁԲ-26/04*.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"ԳՄՃՀ-ԷԱՃԱՊՁԲ-26/04"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Ճամբարակի համայնքապետարան*(далее — Заказчик) процедуре закупок под кодом ԳՄՃՀ-ԷԱՃԱՊՁԲ-26/04*.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ԳՄՃՀ-ԷԱՃԱՊՁԲ-26/04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топливо/лето/
Цетановое число не менее 51, цетановый индекс не менее 46, плотность при 150 С от 820 до 845 кг/м3, содержание серы не более 10 мг/кг, массовая доля полициклических, ароматических углеводородов не более 11 процентов, температура воспламенения не ниже 55 С, остаток углерода 10 %. в осадке не более 0,3%, вязкость при 40 С - от 2,0 до 4,5 мм2/с, температура помутнения - не выше 50 С, безопасность, маркировка и упаковка согласно постановлению Правительства РА от 2004 г. «Технический регламент моторных топлив внутреннего сгорания», утвержденный решением N 1592 от 11 ноября.
Поставка, как по купонам, так и по цистернам, согласно предъявленной заказчиком потребности.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город Чамбарак, Г.Нжде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/если поставщик не согласится на более раннюю поставку/ до 31.12.2026.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