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լաբորատոր սարքի ձեռքբերման նպատակով ՀԱԱՀ-ԷԱՃԱՊՁԲ-26/56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լաբորատոր սարքի ձեռքբերման նպատակով ՀԱԱՀ-ԷԱՃԱՊՁԲ-26/56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լաբորատոր սարքի ձեռքբերման նպատակով ՀԱԱՀ-ԷԱՃԱՊՁԲ-26/56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լաբորատոր սարքի ձեռքբերման նպատակով ՀԱԱՀ-ԷԱՃԱՊՁԲ-26/56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Ֆուրիեի փոխակերպման ինֆրակարմիր (FT-IR) սպեկտրոմետր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Ֆուրիեի փոխակերպման ինֆրակարմիր (FT-IR) սպեկտրոմետր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սպեկտրաչափը համատեղում է երկու ռեժիմ՝ Տրանսմիսիա և ATR (Attenuated Total Reflectance), ֆիքսված, առնվազն 360 աստիճան, մեխանիկական ծալվածքով: Բյուրեղը պաշտպանված է ճնշման մեխանիզմով։ Ինտերֆերոմետրը չպետք է պահանջի որևէ արտաքին կարգաբերում: Սպեկտրաչափի իրանը - Հերմետիկ։ Սպեկտրաչափի ինտերֆեյս USB 2.0։ Նմուշառման ինտերֆեյս -Մոդուլար կառուցվածք՝ նմուշառման պարագաների արագ և դյուրին փոխարինման համար: KBr–ի և ներթափանցման մոդուլի առկայությամբ։ Ջերմաստիճանով կառավարվող DTGS դետեկտոր՝ բարձր կայունությամբ արտաքին ջերմաստիճանի փոփոխությունների նկատմամբ։              
ATR ադամանդ պրիզմայով նմուշառման պարագա՝ ATR Dimond ոչ պակաս առնվազն 360 աստիճան մեկ անդրադարձով: Նմուշների բարձրությունը։ մինչև 20մմ նմուշների տեղադրման հնարավորություն։ Կիրառելի pH 4–8 միջակայքում։
Սպեկտրալ տիրույթը ոչ պակաս 8000-ից -350 սմ⁻¹ ։ Սպեկտրալ լուծաչափ- ոչ ավել քան 0.75 սմ⁻¹։ 
Աղմուկ/ազդակ հարաբերությունը ոչ քիչ քան 55000
Ալիքի համարի ճշգրտություն ≤ 1,0 սմ։ Ծրագրային ապահովում- Ծրագրային ապահովումը պետք է լինի մեթոդով ղեկավարվող՝ նմուշառման պարագաների և նմուշի գունավոր պատկերների ցուցադրմամբ: Քանակական արդյունքները պետք է հնարավորություն ունենան շեմերի գունավոր ցուցադրմանը՝ նմուշի արդյունքները սահմանների տիրույթում կամ տիրույթից դուրս դյուրին տեսանելիության ապահովման համար: Ավտոմատացված, USP 854, IQ/OQ, 21 CFR Part 11-ին համապատասխանում (օպցիոնալ), մասնագիտացված անալիզների համար նախատեսված ծրագրային ապահովում: Համապատասխան գրադարանների տրամադրում ՝ պոլիմերային նյութերի համար նախատեսված ոչ պակաս 234 նմուշի համար, օրգանական նյութերիի համար նախատեսված գրադարան ոչ պակաս 4500 նմուշից։ 
Բույսերի և պտուղների պաշտպանական նյութերի գրադարան կազմված ոչ քիչ քան 180 սպեկտր
Գրադարանները պետք է պարունակեն առնվազն հետևյալ ինֆորմացիան ՝ ամբողջական սպեկտր, քիմական կառույց , քիմիական ֆորմուլա, մոլեկուլային զանգված, cas number.ինչպես նաև կոմերցիալ անվանում։
Սպեկտրալ գրադարանների օգտագործման հնարավորություն և կատարված չափումների տվյալներով գրադարաններ ստեղծելու հնարավորություն: Ծրագրային ապահովումը պետք է ներառի միացվող մոդուլների ճանաչում՝ մեթոդում նշված և օգտագործվող մոդուլի հետ համապատասխանելիության հաստատման համար` մեթոդով չափումը շարունակելու համար: Ծրագրային ապահովումը պետք է ունենա ավտոմատացված կերպով զեկույցի արտահանում՝ արդյունաբերական ստանդարտով, PDF ձևաչափի:
Պեստիցիդների և պլաստիֆիկատորների՝ տարբեր խառնուրդներում որոշման մեթոդական ուսուցում:
Համակարգիչ սարքավորման արտադրողի հրահանգներին համապատասխան, նվազագույն պարամետրերը` Ներառված համակարգիչ Core I5 կամ համարժեք, օպերատիվ հիշողություն առնվազն 16ԳԲ, Համակարգչի հիշողությունը առնվազն 1 տեռաբայթ SSD, Համակարգչի մոնիտոր՝ 24" FHD Հզորություն 110-240 Վ, 60/50 Հց։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Էջմիածին, Իսի-լե Մուլինոյի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Ֆուրիեի փոխակերպման ինֆրակարմիր (FT-IR) սպեկտրոմետր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