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2026.05.14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ՀՀՎԱ-ԷԱՃԱՇՁԲ-26/46</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Аппарат Премьер-минситра РА</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г. Ереван, Правительственный дом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Печатные материалы по заказу</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Сона Ширинян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sona.shirinyan@gov.am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010-515-671</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Аппарат Премьер-минситра РА</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ՀՀՎԱ-ԷԱՃԱՇՁԲ-26/46</w:t>
      </w:r>
      <w:r w:rsidRPr="00F23835">
        <w:rPr>
          <w:rFonts w:ascii="Calibri" w:hAnsi="Calibri" w:cs="Times Armenian"/>
          <w:i/>
          <w:lang w:val="ru-RU"/>
        </w:rPr>
        <w:br/>
      </w:r>
      <w:r w:rsidR="00A57090" w:rsidRPr="00F23835">
        <w:rPr>
          <w:rFonts w:ascii="Calibri" w:hAnsi="Calibri" w:cstheme="minorHAnsi"/>
          <w:szCs w:val="20"/>
          <w:lang w:val="af-ZA"/>
        </w:rPr>
        <w:t>2026.05.14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Аппарат Премьер-минситра РА</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Аппарат Премьер-минситра РА</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Печатные материалы по заказу</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Печатные материалы по заказу</w:t>
      </w:r>
      <w:r w:rsidR="00410048" w:rsidRPr="00F23835">
        <w:rPr>
          <w:rFonts w:ascii="Calibri" w:hAnsi="Calibri"/>
          <w:b/>
          <w:lang w:val="ru-RU"/>
        </w:rPr>
        <w:t xml:space="preserve">ДЛЯ НУЖД </w:t>
      </w:r>
      <w:r w:rsidRPr="00871866">
        <w:rPr>
          <w:rFonts w:ascii="Calibri" w:hAnsi="Calibri" w:cs="Calibri"/>
          <w:b/>
          <w:lang w:val="af-ZA"/>
        </w:rPr>
        <w:t>Аппарат Премьер-минситра РА</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ՀՀՎԱ-ԷԱՃԱՇՁԲ-26/46</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sona.shirinyan@gov.am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Печатные материалы по заказу</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Заказные печатные материалы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368.63</w:t>
      </w:r>
      <w:r w:rsidRPr="00F23835">
        <w:rPr>
          <w:rFonts w:ascii="Calibri" w:hAnsi="Calibri"/>
          <w:szCs w:val="22"/>
        </w:rPr>
        <w:t>драмом, российский рубль</w:t>
      </w:r>
      <w:r w:rsidR="004F59D5" w:rsidRPr="004F59D5">
        <w:rPr>
          <w:rFonts w:ascii="Calibri" w:hAnsi="Calibri" w:cs="Calibri"/>
          <w:szCs w:val="22"/>
          <w:lang w:val="af-ZA"/>
        </w:rPr>
        <w:t>5.0126</w:t>
      </w:r>
      <w:r w:rsidRPr="00F23835">
        <w:rPr>
          <w:rFonts w:ascii="Calibri" w:hAnsi="Calibri"/>
          <w:szCs w:val="22"/>
        </w:rPr>
        <w:t xml:space="preserve"> драмом, евро </w:t>
      </w:r>
      <w:r w:rsidR="00280D4A" w:rsidRPr="00B37B19">
        <w:rPr>
          <w:rFonts w:ascii="Calibri" w:hAnsi="Calibri" w:cs="Calibri"/>
          <w:szCs w:val="22"/>
          <w:lang w:val="af-ZA"/>
        </w:rPr>
        <w:t>431.78</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2026.05.26.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ՀՀՎԱ-ԷԱՃԱՇՁԲ-26/46</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001C1C48" w:rsidRPr="001C1C48">
        <w:rPr>
          <w:rFonts w:ascii="Calibri" w:hAnsi="Calibri" w:cstheme="minorHAnsi"/>
          <w:lang w:val="ru-RU"/>
        </w:rPr>
        <w:t>ՀՀՎԱ-ԷԱՃԱՇՁԲ-26/46</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"ՀՀՎԱ-ԷԱՃԱՇՁԲ-26/46"</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ՀՀՎԱ-ԷԱՃԱՇՁԲ-26/46*.</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"ՀՀՎԱ-ԷԱՃԱՇՁԲ-26/46"</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ՀՀՎԱ-ԷԱՃԱՇՁԲ-26/46*.</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ՀՀՎԱ-ԷԱՃԱՇՁԲ-26/46</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Заказные печатные материалы, в том числе значок с печатью.
Внешний вид значка-квадратная форма
Материал значка- металл: 2 х 2 см ± 0,5 см. лицевая сторона значка- серебристая или золотая, форма крепления- шаровидная игла сзади с матовой поверхностью.
На лицевой стороне нагрудного знака логотип заказчика/ логотип / цвет: черный и название мероприятия: 20 букв, высота букв: 3± 0.1 мм, ширина: 2± 0.1 мм, общая длина слова: 3±0.2 см:
Предварительно согласуйте образцы с заказчиком.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В.Саргсян 3, Офис главного уполномоченного по делам диаспоры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Исчисление срока осуществляется со дня вступления в силу заключаемого между сторонами договора до 90 календарных дней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Заказные печатные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