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ԵԱՍՄ-ԷԱՃԱՊՁԲ-26/29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Շիրակի փող., 88/1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հիմնարկի կարիքների համար ԵԱՍՄ-ԷԱՃԱՊՁԲ-26/29 ծածկագրով բենզին ռեգուլյարի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041777983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easm.himnark@gmail.com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աղբահանություն և սանիտարական մաքրում» համայնքային հիմնարկ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ԵԱՍՄ-ԷԱՃԱՊՁԲ-26/29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աղբահանություն և սանիտարական մաքրում» համայնքային հիմնարկ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աղբահանություն և սանիտարական մաքրում» համայնքային հիմնարկ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աղբահանություն և սանիտարական մաքրում» համայնքային հիմնարկի կարիքների համար ԵԱՍՄ-ԷԱՃԱՊՁԲ-26/29 ծածկագրով բենզին ռեգուլյարի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աղբահանություն և սանիտարական մաքրում» համայնքային հիմնարկ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աղբահանություն և սանիտարական մաքրում» համայնքային հիմնարկի կարիքների համար ԵԱՍՄ-ԷԱՃԱՊՁԲ-26/29 ծածկագրով բենզին ռեգուլյարի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ԵԱՍՄ-ԷԱՃԱՊՁԲ-26/29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easm.himnark@gmail.com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աղբահանություն և սանիտարական մաքրում» համայնքային հիմնարկի կարիքների համար ԵԱՍՄ-ԷԱՃԱՊՁԲ-26/29 ծածկագրով բենզին ռեգուլյարի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368.78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5.0201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2026.05.27.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աղբահանություն և սանիտարական մաքրում» համայնքային հիմնարկ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ԵԱՍՄ-ԷԱՃԱՊՁԲ-26/29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ԵԱՍՄ-ԷԱՃԱՊՁԲ-26/29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«ԵԱՍՄ-ԷԱՃԱՊՁԲ-26/29»*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աղբահանություն և սանիտարական մաքրում» համայնքային հիմնարկ*  (այսուհետ` Պատվիրատու) կողմից կազմակերպված` ԵԱՍՄ-ԷԱՃԱՊՁԲ-26/29*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աղբահանություն և սանիտարական մաքրում» համայնքային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«ԵԱՍՄ-ԷԱՃԱՊՁԲ-26/29»*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աղբահանություն և սանիտարական մաքրում» համայնքային հիմնարկ*  (այսուհետ` Պատվիրատու) կողմից կազմակերպված` ԵԱՍՄ-ԷԱՃԱՊՁԲ-26/29*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աղբահանություն և սանիտարական մաքրում» համայնքային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Վառելիքի մատակարարումը կտնոններով: Կտրոնների գործողության ժամկետը տրամադրման պահից ոչ պակաս 18 ամիս: Մատակարարը Երևան քաղաքի բոլոր վարչական շրջաններում պետք է պատվիրատուի
սպասարկումն  իրականացնի առնվազն 2 բենզալցակայանի միջոցով: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սկսած մինչև 21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