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ԵԱՍՄ-ԷԱՃԱՊՁԲ-26/29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ԵԱՍՄ-ԷԱՃԱՊՁԲ-26/29</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ԵԱՍՄ-ԷԱՃԱՊՁԲ-26/29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ԵԱՍՄ-ԷԱՃԱՊՁԲ-26/29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ԵԱՍՄ-ԷԱՃԱՊՁԲ-26/29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простой,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 плотность при 15 °С от 720 до 775 кг/м3, содержание серы не более 10 мг/кг, массовая доля кислорода не более 2,7 %, объемная доля окислителей, не более: метанол-3%, этанол-5%, спирт изопропиловый-10%, спирт изобутиловый-10%, спирт тербутиловый-7%, эфиры (С5 и выше)-15%, другие окислители-10%, безопасность, маркировка и упаковка согласно правительству РА 2004 года. «Технический регламент моторных топлив внутреннего сгорания», утвержденный постановлением N 1592 от 11 ноября. Поставка топлива по талонам. Срок действия талонов — не менее 18 месяцев с даты выдачи. 
обслуживание не менее чем на 2-х заправочных станциях всех административных районах города Еревана.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