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ԲԿԳԿ-ԷԱՃԱՊՁԲ-26/42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ԲԿԳԿ-ԷԱՃԱՊՁԲ-26/42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ԲԿԳԿ-ԷԱՃԱՊՁԲ-26/42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ԲԿԳԿ-ԷԱՃԱՊՁԲ-26/42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ԲԿԳԿ-ԷԱՃԱՊՁԲ-26/42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ԲԿԳԿ-ԷԱՃԱՊՁԲ-26/42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ԲԿԳԿ-ԷԱՃԱՊՁԲ-26/42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Спектральный проточный цитофлуориметр с функцией сортировки клеток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10:30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5.0312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2026.06.02. 10:30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ԲԿԳԿ-ԷԱՃԱՊՁԲ-26/42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ԲԿԳԿ-ԷԱՃԱՊՁԲ-26/42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"ԲԿԳԿ-ԷԱՃԱՊՁԲ-26/42"*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"ԲԿԳԿ-ԷԱՃԱՊՁԲ-26/42"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"ԲԿԳԿ-ԷԱՃԱՊՁԲ-26/42"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ԲԿԳԿ-ԷԱՃԱՊՁԲ-26/42*</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ԲԿԳԿ-ԷԱՃԱՊՁԲ-26/42</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ԲԿԳԿ-ԷԱՃԱՊՁԲ-26/42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Спектральный проточный цитофлуориметр с функцией сортировки клеток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Сортировка клеток по их фенотипу на основе поверхностных или внутриклеточных маркеров.
Изучение функциональных характеристик клеток.
Анализ экспрессии генов на уровне отдельных клеток, сортировка одиночных клеток.
Определение чистоты клеточных популяций и очистка культур.
Проведение исследований в области онкологии, иммунологии, биохимии, биологии и гематологии.
Обеспечивает также сортировку бактерий, водных организмов, растительных клеток и дрожжей, а также других объектов размером от 0,1 мкм.
Возможность мультипараметрического анализа клеток.
Перенос экспериментов с анализатора на сортер без изменений.
Габариты (без рабочей станции): не более 570 × 750 × 650 мм.
Потребляемая мощность: не более 1000 Вт.
Все электрические устройства должны иметь разъемы, совместимые с электрическими розетками, используемыми в ЕАЭС, либо поставляться с комплектом соответствующих адаптеров.
Оптическая система
Оптическая система с высокой чувствительностью, обеспечивающая регистрацию не менее 38 флуоресцентных каналов, не менее двух параметров бокового светорассеяния (SSC) и не менее одного параметра прямого светорассеяния (FSC).
Источники излучения (лазеры)
Твердотельный диодный лазер мощностью не менее 100 мВт, длина волны 400–410 нм (фиолетовый), количество детекторов — не менее 16.
Твердотельный диодный лазер мощностью не менее 50 мВт, длина волны 485–490 нм (синий), количество детекторов — не менее 14.
Твердотельный диодный лазер мощностью не менее 80 мВт, длина волны 640–645 нм (красный), количество детекторов — не менее 8.
Возможность дополнительного оснащения на месте эксплуатации лазерами с длинами волн:
355 нм (не менее 16 каналов детекции) и не менее 561 нм (не менее 10 каналов детекции).
Обеспечение получения полного спектра излучения флуорохромов.
Флуоресцентная чувствительность (MESF): FITC ≤ 5, PE ≤ 4, APC ≤ 3, Pacific Blue ≤ 4.
Модуль детекции бокового светорассеяния с возможностью сбора до 100% рассеянного света.
Разделение частиц размером 70 нм от фона по параметру бокового светорассеяния.
Параметры сортировки
Возможность сортировки по 2, 4 и 6 направлениям.
Забор образца из пробирок объемом не менее 5 мл и не более 15 мл.
Возможность сортировки в пробирки объемом 1,5 мл, 5 мл, 15 мл, 50 мл, а также в их комбинации.
Возможность сортировки в планшеты на 96 и 384 лунки, а также в форматы 2×3 – 8×12.
Возможность сортировки одиночных клеток в планшеты на 96 и 384 лунки (не более одной клетки в лунку).
Перенос образца (carryover) между пробирками/лунками — не более 0,1%.
Диапазон контроля температуры исходного и отсортированного образца: 4–37 °C.
Ширина детекционных каналов (нм): не менее 428–812 нм.
Возможность сортировки не менее 6 популяций с глубиной гейтинга не менее 40 уровней.
Скорость сортировки одиночных клеток:
•	в 96-луночном планшете — не более 2 минут 
•	в 384-луночном планшете — не более 5 минут 
Количество высокоразрешающих камер для контроля сортировки и формирования капель — не менее 3.
Наличие функции вычитания автофлуоресценции.
Автоматическая настройка усиления детекторов для стандартизации всех приборов.
Лазерный профиль (flat-top) — не более 50 × 75 мкм, обеспечивающий высокое разрешение при различных скоростях потока.
Динамический диапазон сигнала — не менее 22 бит и 6,5 log.
Сопла (nozzles) диаметром 70, 85, 100, 130 мкм с возможностью «горячей» замены.
Скорость подачи образца — не менее 8–80 мкл/мин.
Шаг регулировки скорости — не более 10 мкл/мин.
Автоматизированные этапы: нагрев, очистка, выключение, калибровка (calibration).
Установка прибора в бокс биологической безопасности не ниже II класса.
Объем резервуара для sheath-флюида — не менее 10 литров.
Объем резервуара для отходов — не менее 10 литров.
Объем резервуара для промывочного раствора — не менее 3 литров.
Наличие автоматической настройки параметра «drop delay».
Скорость анализа (событий/сек) — не менее 35000 событий/сек.
Чистота сортировки — не менее 95%.
Встроенный HEPA-фильтр.
Номинальная производительность — не менее 1 образца/мин.
Управляющий компьютер и обработка данных
Рабочая станция с не менее чем 2 мониторами, диагональ каждого — не менее 27 дюймов.
Операционная система — не ниже MS Windows 10.
Цифровая обработка сигналов с регистрацией интенсивности, высоты пика и площади сигнала.
Формат файлов цитометрических данных — не ниже FCS 3.1 + RAW.
Возможность разграничения прав администратора в программном обеспечении.
Процессор: не ниже Intel i5, 12-го поколения.
Объем жесткого диска — не менее 1 ТБ.
Оперативная память (RAM) — не менее 64 ГБ.
Документация и обслуживание
Предоставление технической документации и описания программного обеспечения.
Установка оборудования (инсталляция) должна выполняться сертифицированным специалистом производителя.
Обучение на месте должно проводиться сертифицированным специалистом производителя и включать не менее трех этапов, рассчитанных не менее чем на 5 участников:
1.	Онлайн-обучение — теоретические основы спектральной цитометрии. 
2.	Теоретическое обучение по сортировке клеток. 
3.	Практическое обучение на месте. 
Должно быть обеспечено краткосрочное обучение (3–7 дней) не менее 2 сотрудников, эксплуатирующих оборудование, на аналогичном оборудовании производителя в одной из европейских стран.
Гарантийное и сервисное обслуживание за счет поставщика — не менее 12 месяцев.
Стартовый комплект реагентов и материалов
Калибровочные частицы — не менее 6 флаконов.
Частицы для контроля качества — не менее 6 флаконов.
Комплект расходных материалов для планового обслуживания — не менее 2 шт.
Не менее 1–2 наборов для сортировки клеточных популяций и не менее 1–2 наборов для анализа внутриклеточных мишеней методом проточной цитометрии, включая соответствующие антитела.
Обязательно должен включать:
•	реагенты для приготовления FACS buffer (PBS + 1–2% BSA + EDTA), 
•	Fc receptor blocking reagent (для предотвращения неспецифического связывания), 
•	viability dyes (например, PI, 7-AAD или Zombie dyes), 
•	compensation beads (для single-color compensation), 
•	пробирки для сбора при сортировке (Sorting collection tubes), стерильные, low-binding: 
o	5 мл — не менее 200 шт 
o	15 мл — не менее 100 шт 
Для эксплуатации прибора:
•	sheath fluid (или концентрат для его приготовления) — не менее 10 литров, 
•	моющий раствор (например, bleach, Contrad или аналог) — не менее 3 литров, 
•	раствор для деконтаминации (для работы с biohazard) — не менее 5 литров, 
•	набор для очистки сопел / maintenance kit — не менее 1 шт. 
Для хранения и качества образцов:
•	контейнеры для льда (ice buckets) — не менее 2–3 шт, 
•	охлаждающие штативы (cooling racks) для 2.0 мл и 5.0 мл — не менее 1 шт каждого, 
•	устройство для получения мелкодисперсного льда (ледогенератор) — 1 шт. 
Необходимые лабораторные принадлежности
Вортекс-миксер (Vortex mixer) для быстрого и равномерного перемешивания образцов — 1 шт.
Контейнер для биологически опасных отходов (Biohazard bins) для размещения под ламинарным шкафом (laminar box) — не менее 1 шт.
Лабораторные промывочные бутылки (wash bottles) и диспенсеры растворов (solution dispenser) — не менее 2 шт каждого, различных объемов.
FACS-пробирки объемом 5 мл — не менее 200 шт.
Штативы для пробирок (Eppendorf tube rack) для 1.5 мл, 2.0 мл, 5 мл, 15 мл и 50 мл — по 1 шт каждого типа.
Серинговые фильтры (0.22 мкм и 0.45 мкм) для фильтрации sheath и буферов — не менее 50 шт каждого.
Cell strainers размером 40 мкм и 70 мкм для предотвращения образования клеточных кластеров — не менее 50 шт каждого.
Дополнительное оборудование, ремонт и оснащение лаборатории
Компрессор — не менее 1 шт.
Воздушный компрессор, специально предназначенный для использования с системой сортировки клеток.
Бокс биологической безопасности
Бокс биологической безопасности, совместимый с оборудованием — не менее 1 шт.
Бокс разработан для обеспечения изолированной среды класса II, тип A2, оптимизированной для систем сортировки клеток.
Габаритные размеры (Ш × Г × В): не более 1380 × 900 × 2350 мм.
Тип шкафа: класс II, тип A2 (Class II Type A2).
Материал: внутренняя рабочая поверхность из нержавеющей стали.
Высота открытия фронтального окна — 200 мм.
Номинальная скорость приточного потока — 0,55 м/с.
Номинальная скорость нисходящего потока (downflow) — 0,35 м/с.
Уровень шума — не более 66 дБ (A).
Рабочий стол
Рабочий стол, предназначенный для работы в положении стоя и сидя, со встроенным креплением для мониторов — не менее 1 шт.
Должен быть совместим с поставляемым оборудованием компьютером и мониторами.
Система очистки воды
Система предназначена для получения очищенной воды, соответствующей типам I, II и III согласно стандарту ISO 3696, для различных лабораторных задач (высокоточные анализы, клеточные культуры, молекулярная биология, приготовление растворов и др.).
Система должна обеспечивать получение трех типов воды:
•	Тип I (ультрачистая вода), 
•	Тип II (чистая вода), 
•	Тип III (обратноосмотическая вода),
непосредственно из водопроводной сети. 
Производительность подачи ультрачистой воды — не менее 1,2 л/мин.
Система должна иметь встроенный резервуар объемом не менее 7 литров, а производительность RO — не менее 10 л/час.
Для подачи воды типа III должна быть предусмотрена возможность подключения внешнего резервуара объемом 15 или 30 литров.
Для мониторинга качества воды система должна быть оснащена двумя сенсорами — для воды типов I и II.
Система должна иметь встроенную функцию периодической рециркуляции для снижения микробиологического загрязнения, а также быструю предустановленную программу санитарной обработки длительностью не более 1,5 часов.
Должна быть предусмотрена возможность подключения отдельного диспенсера или внешнего резервуара для гибкости использования.
Параметры температуры, чистоты, TOC и другие должны отображаться на панели управления.
Варианты установки: настольное размещение или настенное крепление.
Система должна иметь функцию автоматического заполнения по времени.
Полное заполнение внутреннего резервуара — около 45 минут.
Также система должна быть оснащена USB-разъемом для регистрации данных, обновления программного обеспечения и диагностики.
Система должна поставляться в полной комплектации, включая УФ-лампу, а также все необходимые принадлежности и расходные материалы для установки и эксплуатации.
Поставщик обязан предоставить все сертификаты и авторизационное письмо от производителя (MAF).
Клеточный анализатор
Клеточный анализатор — не менее 1 шт.
Анализатор должен работать по принципу проточной цитометрии.
Определение поверхностных и внутриклеточных маркеров в любых клеточных суспензиях с использованием флуорохром-конъюгированных антител.
Определение процентного состава и абсолютного количества 4 основных субпопуляций лимфоцитов (Tk, Th, B, NK) без использования референсных частиц.
Подсчет абсолютного количества клеток без использования референсных частиц и определение жизнеспособности.
Работа без использования sheath fluid.
Источник излучения: зеленый лазер с возможностью регистрации 2 флуоресцентных параметров и 1 параметра светорассеяния с высокой чувствительностью.
Количество детекторов:
•	для прямого светорассеяния — не менее 1 фотодиода, 
•	для флуоресценции — не менее 2 высокочувствительных фотодиодов. 
Источник света — твердотельный диодный лазер мощностью не более 20 мВт, длина волны 532 нм (зеленый).
Время прогрева лазера — не более 10 минут.
Оптические фильтры для разделения сигналов флуорохромов:
•	PE, dsRed — 576/±28 нм (желтый), 
•	PerCP, PE-Cy5.5, PI, PerCP-Cy5.5 — 680/±30 нм (красный). 
Коэффициент вариации (CV) — не более 10% (стандарт — 5%).
Точность подсчета клеток — не более 10% (стандарт — 5%).
Гидродинамическая система
Не менее 3 скоростей отбора образца:
•	7,2 мкл/мин 
•	14,4 мкл/мин 
•	36 мкл/мин 
Объем потребляемой жидкости за 8 часов — не более 40 мл.
Кварцевая капиллярная проточная камера: 1,5 мм × 0,8 мм, внутренний диаметр 100 мкм, с полиимидным покрытием — не более 2 шт (1 установленная, 1 запасная).
Высокоточный шприцевой насос с шаговым двигателем (полушаговый режим).
Возможность демонтажа, очистки и повторной установки кварцевой проточной камеры оператором без дополнительной настройки.
Форматы данных: FCS 3.0, CSV.
Автоматические алгоритмы
Калибровка прибора с использованием контрольных реагентов.
•	ежедневная и еженедельная дезинфекция и деконтаминация, 
•	подготовка прибора к завершению работы, 
•	формирование отчетной документации. 
Проектирование и 3D-моделирование
Поставщик должен выполнить детальное архитектурное и инженерное проектирование лаборатории, а также 3D-моделирование.
Строительно-ремонтные работы
Поставщик обязан выполнить ремонт и адаптацию лабораторного помещения площадью около 35 м².
Работы должны обеспечивать все инженерные и санитарно-гигиенические условия для безопасной и эффективной эксплуатации оборудования, включая:
•	укладку высококачественного антистатического, химически стойкого бесшовного ПВХ-покрытия; углы должны быть скругленными (coved), 
•	ремонт стен и потолков с использованием легко очищаемых и устойчивых к дезинфекции материалов, 
•	обеспечение необходимых условий для установки оборудования (согласовывается с заказчиком). 
Система вентиляции и кондиционирования (HVAC)
Поставщик должен спроектировать и установить систему HVAC, обеспечивающую:
•	необходимую кратность воздухообмена и циркуляцию воздуха, 
•	стабильное отрицательное давление в рабочей зоне лаборатории (-12,5 до -25 Па), 
•	контроль температуры и влажности, 
•	HEPA-High-Efficiency Particulate Air-фильтрацию класса H14 (эффективность 99,995% для частиц 0,3 мкм), 
•	правильное направление воздушных потоков. 
Система должна быть полностью совместима с оборудованием.
Электроснабжение и ИБП (UPS)
Поставщик обязан обеспечить:
•	прокладку кабелей и установку автоматов, 
•	систему заземления и защиты, 
•	стабильное напряжение, 
•	поставку и установку не менее одного ИБП (UPS). 
ИБП должен обеспечивать безопасное отключение оборудования или кратковременную автономную работу.
Требования к лабораторной мебели
Мебель должна быть исключительно специализированного лабораторного назначения.
Общие требования
Рабочие поверхности (Clean Zone / Чистая зона):
Рабочие поверхности столов должны соответствовать стандарту Labgrade (например, монолитный лабораторный пластик (HPL) или специальная эпоксидная смола).
Поверхности должны быть полностью гладкими, без швов и соединений, обладать высокой устойчивостью к влаге, высоким температурам, агрессивным химическим веществам и частой дезинфекции.
Конструкция и каркас:
Столы и шкафы должны быть выполнены на прочных металлических каркасах (C- или H-образные профили), покрытых химически стойким полимерным покрытием.
Максимальная нагрузка на каркас стола — не менее 300 кг.
Ножки должны быть регулируемыми по высоте.
Дизайн и эргономика:
Все элементы мебели должны иметь единый дизайн и цветовое решение.
Под мебелью должно быть обеспечено свободное пространство для удобной уборки (навесные шкафы или мобильные тумбы на колесах).
Минимальное количество мебели
Столы-тумбы и мойки
•	Лабораторный стол-тумба, 2 двери + 2 ящика, с электропитанием
(ламинат, серый, 1200×600×900 мм, допустимое отклонение 2–3%) — не менее 2 шт 
•	Лабораторный стол-тумба, 2 двери + 2 ящика, с электропитанием
(Labgrade, 1200×600×900 мм) — не менее 1 шт 
•	Лабораторный стол-тумба, 2 двери + 2 ящика, с электропитанием
(Labgrade, 1200×800×900 мм) — не менее 1 шт 
•	Лабораторный стол-тумба, 2 двери + 2 ящика, без электропитания
(Labgrade, 1200×800×900 мм) — не менее 1 шт 
•	Лабораторный стол-тумба, 2 двери + 3 ящика, с электропитанием
(Labgrade, 1500×800×900 мм) — не менее 1 шт 
•	Стол-тумба, 1 дверь
(Labgrade, 900×600×900 мм) — не менее 1 шт 
•	Лабораторная мойка, односекционная (левая), стеклопластик
(Labgrade, 1200×600×900 мм) — не менее 1 шт 
Полки, стеллажи и навесные шкафы
•	Навесной шкаф с 4 ящиками (металл, 400×540×610 мм) — не менее 4 шт 
•	Навесной шкаф с 3 ящиками (металл, 400×540×465 мм) — не менее 1 шт 
•	Навесной шкаф с левой дверцей (металл, 400×540×465 мм) — не менее 1 шт 
•	Настенная полка (металл, 1200×340×380 мм) — не менее 3 шт 
•	Настенная полка (металл, 900×340×380 мм) — не менее 1 шт 
•	Настенная полка (металл, 600×340×380 мм) — не менее 1 шт 
•	Технологический стеллаж с книжным шкафом (900 мм) — не менее 2 шт 
•	Технологический стеллаж с книжным шкафом (1200 мм) — не менее 2 шт 
•	Технологический стеллаж с книжным шкафом (1500 мм) — не менее 1 шт 
Шкафы и дополнительное оборудование
•	Шкаф для одежды (металл, 600×500×2000 мм) — 2 шт 
•	Вытяжной поворотный рукав с розеткой
(полипропилен, 3150×75 мм) — 1 шт 
•	Эргономичные лабораторные стулья (без тканевой обивки, легко дезинфицируемые) — не менее 4 шт 
•	Передвижные столики (тележки) из нержавеющей стали: 
o	2 малых — размер 90×40×90 см 
o	1 большой — размер 180×40×180 см
(допустимое отклонение 2–3%, каждый с одной полкой) 
Дополнительные требования
Лабораторная мебель должна быть оснащена:
•	электрическими розетками 
•	освещением 
•	защитными выключателями 
Количество и расположение указанных элементов должно быть согласовано с Заказчиком.
Все окончательные размеры мебели подлежат согласованию с Заказчиком.
Любые изменения размеров или характеристик мебели допускаются только при наличии письменного согласия Заказчика.
Общие требования
Поставляемое оборудование должно быть новым, то есть не бывшим в эксплуатации, не демонстрационным, без царапин и дефектов, не модифицированным, не восстановленным, не поврежденным и без каких-либо ограничений на использование.
Гарантийное обслуживание должно составлять не менее 12 месяцев с момента ввода оборудования в эксплуатацию.
Необходимо предоставить руководство по эксплуатации оборудования.
Должно быть обеспечено обучение работе с данным оборудованием, проводимое сертифицированными специалистами.
Установка оборудования и вспомогательных устройств, а также выполнение ремонтных работ, монтаж мебели и монтаж системы вентиляции должны осуществляться сертифицированными специалистами и инженерами.
Необходимо предоставить официальное письмо-полномочие от производителя (Manufacturer Authorization Form, MAF) с указанием заказчика и номера тендера/закупочной процедуры.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0025,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ԲԿԳԿ-ԷԱՃԱՊՁԲ-26/42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