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ՀՀՌՑ-ԷԱՃԱՊՁԲ-26/22 -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ՀՀՌՑ-ԷԱՃԱՊՁԲ-26/22 -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ՀՀՌՑ-ԷԱՃԱՊՁԲ-26/22 -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ՀՀՌՑ-ԷԱՃԱՊՁԲ-26/22 -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15°C ջերմաստիճանում՝ 720-ից մինչև 775 կգ/մ3, ծծմբի պարունակությունը` 150 մգ/կգ-ից ոչ ավելի, թթվածնի զանգվածային մասը` 2,7 %-ից ոչ ավելի, օքսիդիչների ծավալային մասը, ոչ ավելի` մեթանոլ-3 %, էթանոլ -5 %,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որոշվածհետազոտական մեթոդով՝ ոչ պակաս 95, շարժիչային մեթոդով՝ ոչպակաս 85, բենզինի հագեցած գոլորշիների ճնշումը`45 մինչև100 կՊա, կապարի պարունակությունը 5 մգ/դմ3-ից ոչ ավելի,բենզոլի ծավալային մասը 1% -ից ոչ ավելի, խտությունը`15°C ջերմաստիճանում՝  720-775  կգ/մ3,  ծծմբի  արունակությունը  150մգ/կգ-ից ոչ ավելի, թթվածնի զանգվածային մասը 2,7%-ից ոչավելի,  օքսիդիչների  ծավալային  մասը,  ոչ  ավելի`  մեթանոլ-3%,էթանոլ-5%,  իզոպրոպիլ  սպիրտ-10%,  իզոբուտիլ  սպիրտ-10%,եռաբութիլ սպիրտ-7%, եթերներ (C5 և ավելի)-15%, այլ օքսիդիչներ-10%, անվտանգությունը` ըստ ՀՀ կառավարության 2004թ. նոյեմբերի 11-ի N 1592-Ն որոշմամբ հաստատված«Ներքին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 կտրոններով, Ցետանային թիվը 51-ից ոչ պակաս, ցետանային ցուցիչը 46-ից ոչ պակաս, խտությունը 15 0 C ջերմաստիճանում 820-ից մինչև 845 կգ/մ3, ծծմբի պարունակությունը 350 մգ/կգ-ից ոչ ավելի, բռնկման ջերմաստիճանը 55 0 C-ից ոչ ցածր, Ածխածնի մնացորդը 10% նստվածքում 0,3%-ից ոչ ավելի, մածուցիկություն ը 400C-ում` 2,0-ից մինչև 4,5 մմ2/վ, պղտորման ջերմաստիճանը` 0 0 C-ից ոչ բարձր: 
Մատակարարումը կտրոնային:
Կտրոններն ուժի մեջ պետք է լինեն մատակարարման օրվան հաջորդող առնվազն 12 ամսվա ընթացքում և դրանք պետք է սպասարկվեն Երևանում (յուրաքանչյուր վարչական շրջանում առնվազն մեկ բենզալցակայան) և ՀՀ բոլոր մարզերում: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