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ԱՀԱՀ-ԷԱՃԱՊՁԲ-26/16</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реализуются Департаментом информационных технологий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Core Ultra i5 (серия U)
• Экран: 14-дюймовый сенсорный экран
• Трансформируемый
• ОЗУ: 16 ГБ / SSD: 512 ГБ
• Доступны MAF/DAF
• OEM Windows 11 Pro • Входы: HDMI, Type C, LAN, USB (не менее 3)
• Гарантия: 1 год
Победившая организация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Полноразмерная офисная клавиатура
• Подключение: Беспроводное (2,4 ГГц)
• Язык: Английский, русский (US, RU) с различными шрифтами
• Стандарт качества: Logitech, Microsoft, Asus, Genius или Keychron
Гарантийный срок: 1 год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Оптическая мышь
• Подключение: Беспроводное (2,4 ГГц)
• Стандарт качества: Logitech, Microsoft, Asus, Genius или Keychron
Гарантийный период: 1 год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Монохромный лазерный принтер
• Характеристики: Печать: Двустороннее сканирование
• Скорость: Минимум 40 стр./мин (черно-белая)
• Подключение: Ethernet
• Гарантия: 1 год • Стандарт качества: Canon, HP или Epson
Победившая организация должна предоставить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