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2026.05.20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ՖՆ-ԷԱՃԱՊՁԲ-26/4</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финансов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М. Адамян-1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сетевые маршрутизаторы</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Лусине Саакян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lusine.sahakyan@minfin.am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011800114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финансов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ՖՆ-ԷԱՃԱՊՁԲ-26/4</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2026.05.20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финансов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финансов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сетевые маршрутизаторы</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сетевые маршрутизаторы</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финансов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ՖՆ-ԷԱՃԱՊՁԲ-26/4</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lusine.sahakyan@minfin.am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сетевые маршрутизаторы</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13</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368.21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427.9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5.1541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2026.06.03.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ՖՆ-ԷԱՃԱՊՁԲ-26/4</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финансов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ՖՆ-ԷԱՃԱՊՁԲ-26/4</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 ՖՆ-ԷԱՃԱՊՁԲ-26/4"*</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ՖՆ-ԷԱՃԱՊՁԲ-26/4"</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финансов РА*(далее — Заказчик) процедуре закупок под кодом ՀՀ ՖՆ-ԷԱՃԱՊՁԲ-26/4*.</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финансов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- 02629081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ՖՆ-ԷԱՃԱՊՁԲ-26/4</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ՖՆ-ԷԱՃԱՊՁԲ-26/4"</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финансов РА*(далее — Заказчик) процедуре закупок под кодом ՀՀ ՖՆ-ԷԱՃԱՊՁԲ-26/4*.</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финансов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- 02629081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ՖՆ-ԷԱՃԱՊՁԲ-26/4</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29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 а также и техническая поддержка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__11______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ՖՆ-ԷԱՃԱՊՁԲ-26/4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Порты и интерфейсы:
• Минимум 4 порта 2.5G Multigigabit RJ45 (медные).
• Минимум 6 портов 10G SFP+, из которых не менее 5 должны быть укомплектованы трансиверами 10G SR.
• Наличие выделенного порта управления и консольного порта.
Производительность:
• Пропускная способность (512 байт): не менее 38 Гбит/с.
• Поддержка маршрутов IPv4/IPv6: не менее 2 миллионов.
• Количество IPsec туннелей: не менее 3000.
• Количество сессий NAT: не менее 1.5 млн.
Протоколы L2/L3:
GRE, IPv6 over IPv4 և IPv4 over IPv6 թունելավորում, VRF-Lite, VRF/Multi-VRF IGMP, Protocol Independent Multicast (PIM), L2TPv2, RIP, OSPF, BGP, EIGRP, IGRP, IS-IS, VXLAN, LISP, SR-MPLS L2 and L3 VPN, Pragmatic General Multicast (PGM), Router Group Management Protocol (RGMP), Multicast Service Reflection, Multicast VPN, EVPN
Технологии VPN:
DMVPN, GET VPN, FlexVPN, P2P Ipsec
Управление и сервисы:
SNMP, SSH CLI, Web UI, NTPv4, CDP, CoPP, SPAN, RSPAN, NETCONF/YANG, RESTCONF, NetFlow, IPFIX, DNS, DDNS
Питание:
Наличие не менее 2-х блоков питания переменного тока (AC).
Товар должен быть новым и неиспользованным. 
-Устройства и комплектующие должны быть заводского производства.
-Транспортировка, разгрузка, монтаж и запуск должны осуществляться Исполнителем за его счет в соответствии с архитектурой, рекомендованной производителем. Установка и запуск должны выполняться специалистом, официально сертифицированным производителем.
-При поставке Исполнитель должен представить гарантийное письмо или сертификат соответствия от производителя/его представителя ((MAF - Manufacturer's Authorization Form) либо письмо-доверенность от уполномоченной организации в РА (DAF - Distributer's Authorization Form)).
-Гарантия: Гарантийный срок и техническая поддержка должны составлять не менее 3 (трех) лет с момента приемки товара.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ՖՆ-ԷԱՃԱՊՁԲ-26/4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Мелик-Адамяна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соответствующих финансовых средств - в течение 120 календарных дней со дня вступления в силу соглашения о выполнении обязательств сторон.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ՖՆ-ԷԱՃԱՊՁԲ-26/4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ՖՆ-ԷԱՃԱՊՁԲ-26/4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ՖՆ-ԷԱՃԱՊՁԲ-26/4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