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2026.05.15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ԲԿԳԿ-ԷԱՃԱՊՁԲ-26/48</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 процедуре, объявленной под кодом ԲԿԳԿ-ԷԱՃԱՊՁԲ-26/48 для нужд Комитет по высшему образованию и науке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Լաուրա Հայրապետյան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l.hayrapetyan@promotion.am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 389689 (ներքին հեռախոսահամար՝ 11)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ԲԿԳԿ-ԷԱՃԱՊՁԲ-26/48</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2026.05.15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 процедуре, объявленной под кодом ԲԿԳԿ-ԷԱՃԱՊՁԲ-26/48 для нужд Комитет по высшему образованию и науке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 процедуре, объявленной под кодом ԲԿԳԿ-ԷԱՃԱՊՁԲ-26/48 для нужд Комитет по высшему образованию и науке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ԲԿԳԿ-ԷԱՃԱՊՁԲ-26/48</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l.hayrapetyan@promotion.am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 процедуре, объявленной под кодом ԲԿԳԿ-ԷԱՃԱՊՁԲ-26/48 для нужд Комитет по высшему образованию и науке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Фурье-преобразовательный инфракрасный (ИК) спектрометр, оснащенный рамановским модулем.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12:00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368.21</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5.1541</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427.9</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2026.06.05. 12:00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ԲԿԳԿ-ԷԱՃԱՊՁԲ-26/48</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ԲԿԳԿ-ԷԱՃԱՊՁԲ-26/48</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ԲԿԳԿ-ԷԱՃԱՊՁԲ-26/48</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ԲԿԳԿ-ԷԱՃԱՊՁԲ-26/48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"ԲԿԳԿ-ԷԱՃԱՊՁԲ-26/48"*</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"ԲԿԳԿ-ԷԱՃԱՊՁԲ-26/48"</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ԲԿԳԿ-ԷԱՃԱՊՁԲ-26/48*.</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ԲԿԳԿ-ԷԱՃԱՊՁԲ-26/48</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"ԲԿԳԿ-ԷԱՃԱՊՁԲ-26/48"</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ԲԿԳԿ-ԷԱՃԱՊՁԲ-26/48*.</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ԲԿԳԿ-ԷԱՃԱՊՁԲ-26/48*</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ԲԿԳԿ-ԷԱՃԱՊՁԲ-26/48</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ԲԿԳԿ-ԷԱՃԱՊՁԲ-26/48</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ԲԿԳԿ-ԷԱՃԱՊՁԲ-26/48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Фурье-преобразовательный инфракрасный (ИК) спектрометр, оснащенный рамановским модулем.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Научный спектрометр с возможностью полноценных временно разрешённых измерений, включая режимы пошагового сканирования, амплитудной модуляции, фазовой модуляции и многомодульной модуляции.
Спектрометр должен быть герметично закрытым и осушенным, оснащённым модулем подключения струи азота для проведения исследований без влияния водяного пара.
Должен включать пользовательски заменяемый гелий неоновый лазерный источник.
Должен включать двухканальную систему оцифровки для проведения временно разрешённой спектроскопии (минимальный временной интервал — не более микросекунды).
Оптический спектральный диапазон 11000–50 см⁻¹ (с возможностью расширения до 27000–20 см⁻¹) со следующимы   светоделителями: Фторид кальция (11000-1000см⁻¹), Германий – кали бромид (7800–350 см⁻¹), Светоделитель на твёрдом субстрате (700–50 см⁻¹). Должен иметь систему автоматической замены светоделителей с программным управлением, для измерений в трёх спектральных диапазонах (ближный, средный и дальный ИК) без прерывания прокачки  осушенного азота.
Отношение сигнал/шум не менее 55 000:1
Спектральное разрешение не хуже 0,09 см⁻¹
Точность по волновому числу не хуже 0,005 см⁻¹ без программной коррекции
Скорость сканирования не менее 0,0063–8,86 см/с
Наличие 4 внешних входов
Спектрометр должен поддерживать до 5 модулей, включая модуль рамановского спектрометра и приставку нарушенного полного внутреннего отражения (ATR) с кристаллом алмаза.
Спектрометр должен имет следующие детекторы:
Высокоразрешающий детектор ртуть кадмий теллур (HgCdTe) с возможностью временно разрешённой спектроскопии (спектральный диапазон не менее 11500–350 см⁻¹, размер элемента не менее 1×1 мм²), дейтерированный L аланин триглицин сульфатный (DLATGS) детектор ( диапазон не менее 12500–350 см⁻¹), детектор на твёрдом субстрате для дальной ИК исследований (диапазон не менее 700–50 см⁻¹).
   Должен включить модульный рамановский спектрометр, не требующий внешних соединений, с лазером на длине волны 1064 нм, с мощностью не менее 500 мВт, с размером пятна не более 50 мкм. Область сбора данных с поверхности образца не менее (X, Y, Z) 100 × 150 × 25 мм. Сбор и управление данными  через программное обеспечение. Система лазерной безопасности класса 1 (автоматическое отключение при открытии защитной крышки). Наличие встроенной видеокамеры с функцией архивирования и хранения данных. Возможность калибровки размеров образца. Питание модуля от спектрометра.
   Должен иметь встроенную приставку НПВО с алмазным монокристаллом, с программным активацием. Спектральный диапазон не менее 5000–100 см⁻¹, устойчивость к высокому давлению, наличие процедур валидации, максимальная температура нагрева  не менее 200 °C.
   Для регистрации внешнего эмисионого излучения, должен быть система ввода оптического луча в спектрометр. Система должна позволять проводить временные измерения с высоким разрешением.
   Наличие встроенных автоматических поляризаторов.
Приставка зеркального отражения с дополнительными поляризаторами и полным программным управлением (диапазон не менее 7800–50 см⁻¹).
   Приставка диффузного отражения для исследований порошкообразных образцов(диапазон не менее 4000–400 см⁻¹).
Комплект пробоподготовки для твёрдых и жидких веществ, включая окна из бромида калия, ручной пресс, кюветы для жидкостей.
Программное обеспечение:
Вся система, включая приставки, должна управляться и проходить самодиагностику из единой программной среды.
ПО должно соответствовать требованиям 21 CFR Part 11, включая систему управления пользователями.
Возможность автоматизированного экспорта данных.
ПО должен содержать аналитические инструменты: многокомпонентный поиск (до 4 компонентов в одной смеси), коррекция ATR, коррекция базовой линии, идентификация пиков. В состав ПО должны входить следующие библиотеки:
стандартная ИК библиотека не менее 10 000 спектров (полимеры, органические и неорганические соединения, добавки), библиотека рамановских спектров (не менее 1000 спектров), дополнительная И11К библиотека (не менее 4000 спектров).
Требования к компьютерной системе:
процессор не менее Intel Core i7, не менее 32 ГБ RAM, SSD не менее  1000 ГБ ,  лицензионноые Windows 10/11 (64-bit), валидированная графическая карта, монитор 27 дюйм с высоким разрешением не ниже FHD (1920 × 1080), лазерный принтер.
Установка, настройка и квалификация системы должны выполняться сертифицированным инженером.
Внедрение методики измерения плёнок с включением соответствующих аксессуаров. Гарантийный срок — 1 год.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ԲԿԳԿ-ԷԱՃԱՊՁԲ-26/48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0204, Аштарак-2, РА, «Институт физических исследований», 3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пункта 6 статьи 15 Закона Республики Армения «О закупках», и срок, указанный в графе, будет исчисляться с момента вступления в силу соглашения, заключаемого между сторонами в случае предусмотрения финансовых средств, при этом устанавливается, что поставка будет осуществлена в течение 6 месяцев,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ԲԿԳԿ-ԷԱՃԱՊՁԲ-26/48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ԲԿԳԿ-ԷԱՃԱՊՁԲ-26/48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ԲԿԳԿ-ԷԱՃԱՊՁԲ-26/48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