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древесины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ԵՔ-ԷԱՃԱՊՁԲ-26/220</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древесины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древесины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древесины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Пиломатериалы (размером 3х10х600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Пиломатериалы (размером 3х20х600 см)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Пиломатериалы (размером 3х10х600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должна быть изготовлена из натурального дерева, продольно распиленных бревен и балок (из стволов деревьев) размером 5х10х600 см.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трещин, повреждений от вредителей, очищена от коры, с влажностью до 18%. Транспортировка и разгрузка древесины должны осуществляться поставщиком на склад, предоставленный главой Шенгавитского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Пиломатериалы (размером 3х20х600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должна быть изготовлена из натурального дерева, продольно распиленных бревен и балок (из стволов деревьев) размером 5х10х600 см.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трещин, повреждений от вредителей, очищена от коры, с влажностью до 18%. Транспортировка и разгрузка древесины должны осуществляться поставщиком на склад, предоставленный главой Шенгавитского административного района.
Древесина должна быть изготовлена из натурального дерева, продольно распиленных бревен и балок (из стволов деревьев) размером 3х20х600 см.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трещин, повреждений от вредителей, очищена от коры, с влажностью до 18%. Транспортировка и разгрузка древесины должны осуществляться поставщиком на склад, предоставленный главой Шенгавитского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15․08․2026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15․08․2026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Пиломатериалы (размером 3х10х600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Пиломатериалы (размером 3х20х600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