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2026.05.19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ՏՄ ԻՋ ԱԱՊԿ-ԷԱՃԱՊՁԲ-2026/19-1</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ԻՋԵՎԱՆԻ ԱՌՈՂՋՈՒԹՅԱՆ ԱՌԱՋՆԱՅԻՆ ՊԱՀՊԱՆՄԱՆ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Տավուշի մարզ, ք.Իջևան, Երիտասարդական փող. 2ա</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Приглашение к закупке ультразвукового оборудования для нужд ЗАО «Иджеван АКПХ» на 2026 год.</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Աիդա Այվազյան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legesgnumner@gmail.com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099041292</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ԻՋԵՎԱՆԻ ԱՌՈՂՋՈՒԹՅԱՆ ԱՌԱՋՆԱՅԻՆ ՊԱՀՊԱՆՄԱՆ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ՏՄ ԻՋ ԱԱՊԿ-ԷԱՃԱՊՁԲ-2026/19-1</w:t>
      </w:r>
      <w:r w:rsidRPr="00E4651F">
        <w:rPr>
          <w:rFonts w:asciiTheme="minorHAnsi" w:hAnsiTheme="minorHAnsi" w:cstheme="minorHAnsi"/>
          <w:i/>
        </w:rPr>
        <w:br/>
      </w:r>
      <w:r w:rsidR="00A419E4" w:rsidRPr="00E4651F">
        <w:rPr>
          <w:rFonts w:asciiTheme="minorHAnsi" w:hAnsiTheme="minorHAnsi" w:cstheme="minorHAnsi"/>
          <w:szCs w:val="20"/>
          <w:lang w:val="af-ZA"/>
        </w:rPr>
        <w:t>2026.05.19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ԻՋԵՎԱՆԻ ԱՌՈՂՋՈՒԹՅԱՆ ԱՌԱՋՆԱՅԻՆ ՊԱՀՊԱՆՄԱՆ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ԻՋԵՎԱՆԻ ԱՌՈՂՋՈՒԹՅԱՆ ԱՌԱՋՆԱՅԻՆ ՊԱՀՊԱՆՄԱՆ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Приглашение к закупке ультразвукового оборудования для нужд ЗАО «Иджеван АКПХ» на 2026 год.</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Приглашение к закупке ультразвукового оборудования для нужд ЗАО «Иджеван АКПХ» на 2026 год.</w:t>
      </w:r>
      <w:r w:rsidR="00812F10" w:rsidRPr="00E4651F">
        <w:rPr>
          <w:rFonts w:cstheme="minorHAnsi"/>
          <w:b/>
          <w:lang w:val="ru-RU"/>
        </w:rPr>
        <w:t xml:space="preserve">ДЛЯ НУЖД </w:t>
      </w:r>
      <w:r w:rsidR="0039665E" w:rsidRPr="0039665E">
        <w:rPr>
          <w:rFonts w:cstheme="minorHAnsi"/>
          <w:b/>
          <w:u w:val="single"/>
          <w:lang w:val="af-ZA"/>
        </w:rPr>
        <w:t>ԻՋԵՎԱՆԻ ԱՌՈՂՋՈՒԹՅԱՆ ԱՌԱՋՆԱՅԻՆ ՊԱՀՊԱՆՄԱՆ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ՏՄ ԻՋ ԱԱՊԿ-ԷԱՃԱՊՁԲ-2026/19-1</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legesgnumner@gmail.com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Приглашение к закупке ультразвукового оборудования для нужд ЗАО «Иджеван АКПХ» на 2026 год.</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ультразвуковое оборудование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365.5</w:t>
      </w:r>
      <w:r>
        <w:rPr>
          <w:rFonts w:ascii="Calibri" w:hAnsi="Calibri" w:cstheme="minorHAnsi"/>
          <w:szCs w:val="22"/>
        </w:rPr>
        <w:t xml:space="preserve"> драмом, российский рубль </w:t>
      </w:r>
      <w:r>
        <w:rPr>
          <w:rFonts w:ascii="Calibri" w:hAnsi="Calibri" w:cstheme="minorHAnsi"/>
          <w:lang w:val="af-ZA"/>
        </w:rPr>
        <w:t>4.96</w:t>
      </w:r>
      <w:r>
        <w:rPr>
          <w:rFonts w:ascii="Calibri" w:hAnsi="Calibri" w:cstheme="minorHAnsi"/>
          <w:szCs w:val="22"/>
        </w:rPr>
        <w:t xml:space="preserve"> драмом, евро </w:t>
      </w:r>
      <w:r>
        <w:rPr>
          <w:rFonts w:ascii="Calibri" w:hAnsi="Calibri" w:cstheme="minorHAnsi"/>
          <w:lang w:val="af-ZA"/>
        </w:rPr>
        <w:t>420</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2026.06.02.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ՏՄ ԻՋ ԱԱՊԿ-ԷԱՃԱՊՁԲ-2026/19-1</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ԻՋԵՎԱՆԻ ԱՌՈՂՋՈՒԹՅԱՆ ԱՌԱՋՆԱՅԻՆ ՊԱՀՊԱՆՄԱՆ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ՏՄ ԻՋ ԱԱՊԿ-ԷԱՃԱՊՁԲ-2026/19-1</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ՏՄ ԻՋ ԱԱՊԿ-ԷԱՃԱՊՁԲ-2026/19-1</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"ՏՄ ԻՋ ԱԱՊԿ-ԷԱՃԱՊՁԲ-2026/19-1"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ԻՋԵՎԱՆԻ ԱՌՈՂՋՈՒԹՅԱՆ ԱՌԱՋՆԱՅԻՆ ՊԱՀՊԱՆՄԱՆ ԿԵՆՏՐՈՆ ՓԲԸ*(далее — Заказчик) процедуре закупок под кодом ՏՄ ԻՋ ԱԱՊԿ-ԷԱՃԱՊՁԲ-2026/19-1*.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ԻՋԵՎԱՆԻ ԱՌՈՂՋՈՒԹՅԱՆ ԱՌԱՋՆԱՅԻՆ ՊԱՀՊԱՆՄԱՆ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- 07602548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ԱՇԲ Իջևանի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- 247610016989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"ՏՄ ԻՋ ԱԱՊԿ-ԷԱՃԱՊՁԲ-2026/19-1"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ԻՋԵՎԱՆԻ ԱՌՈՂՋՈՒԹՅԱՆ ԱՌԱՋՆԱՅԻՆ ՊԱՀՊԱՆՄԱՆ ԿԵՆՏՐՈՆ ՓԲԸ*(далее — Заказчик) процедуре закупок под кодом ՏՄ ԻՋ ԱԱՊԿ-ԷԱՃԱՊՁԲ-2026/19-1*.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ԻՋԵՎԱՆԻ ԱՌՈՂՋՈՒԹՅԱՆ ԱՌԱՋՆԱՅԻՆ ՊԱՀՊԱՆՄԱՆ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- 07602548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ԱՇԲ Իջևանի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- 247610016989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ՏՄ ԻՋ ԱԱՊԿ-ԷԱՃԱՊՁԲ-2026/19-1</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ультразвуковое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Стационарный ультразвуковой аппарат, предназначенный для акушерства, гинекологии и междисциплинарной диагностики. Система должна обеспечивать высококачественную визуализацию в следующих областях: обследование брюшной полости, акушерство, гинекология, сердцебиение плода, опорно-двигательная система, сосудистая система, поверхностные органы и структуры, ортопедия, онкология.
Количество обрабатываемых в цифровом виде приемных (передающих/принимающих) волн: не менее 650 000
Количество уровней серого: не менее 256 уровней,
Максимальное количество сенсорных элементов: не менее 256,
Тип сканирования: как минимум широкополосное и многочастотное,
Обработка эхо-сигнала: как минимум параллельная и четырехканальная,
Мониторы:
ЖК-монитор высокой четкости: не менее 23 дюймов
Разрешение: не менее 1920 x 1080
Регулировка панели управления: поворот и наклон в горизонтальной плоскости
Регулировка высоты панели управления
Сенсорный экран для выполнения команд: не менее 13,3 дюймов
Угол наклона сенсорного экрана вперед: не менее 0-15 градусов
Разрешение: не менее 1920 x 1080
Количество активных портов датчиков: не менее 5
Физические размеры системы:
Ширина: не более 55 см
Глубина не более 75 см
Вертикальное перемещение не менее 110-174 см
Вес не более 90 кг
Наличие датчиков, изготовленных по монокристаллической технологии,
Наличие как минимум следующих датчиков:
1. Выпуклый монокристаллический или матричный датчик.
- частота не менее 1,0-8,0 МГц,
- радиус не менее 50 мм,
- количество элементов не менее 160.
2. Линейный монокристаллический или матричный датчик.
- частота: не менее 3,0-17,0 МГц,
- радиус: не менее 50 мм,
- количество элементов: не менее 256.
3. Объемный полостной датчик
- частота: не менее 2,0-13,0 МГц,
- количество элементов: не менее 180.
4. Объемный выпуклый преобразователь
- частота: не менее 1,0–7,0 МГц
- радиус: не менее 40 мм
- угол обзора: не менее 68°
- количество элементов: не менее 128
- акустическое окно: не менее 150 мм × 86 мм
Не менее следующих режимов и программ:
B, M, цветной доплеровский эффект,
CW/PW непрерывный и импульсный доплеровский эффект
энергетический доплеровский эффект
тканевой доплеровский эффект
гармоники инверсии импульса,
тканевые гармоники
дуплексный, триплексный режимы Режимы
Анатомический режим M, цветной режим M.
Наличие режима 3D-сканирования без ручек,
Наличие панорамной съемки,
Наличие эластографии,
Объемная съемка,
Наличие специальных функций сердца.
B-режим
- Частота кадров: не менее 2000 кадров/с,
- Глубина исследования: не менее 40 см,
- Увеличение: не менее 10 раз,
- Наличие карт: не менее 15,
- Динамический диапазон: не менее 280 дБ.
Цветной допплер/тканевой допплер
- Частота кадров: не менее 260 кадров/с,
- Наличие автофокуса и регулировки одной кнопкой,
- Наличие инверсии,
- Диапазон частот PRF: не менее 1-8 кГц.
Наличие режима Доплера для улучшения капиллярного кровотока
- Частота кадров: не менее 250 кадров/с,
- Наличие автофокуса и регулировки одной кнопкой,
- Наличие инверсии,
- Предоставление диапазона частот PRF не менее 1-8 кГц.
Непрерывноволновой и импульсноволновой допплер
- Режим триплекса,
- Автоматическая регулировка угла: не менее 0°, 60°, -60°,
- Автоматическая регулировка
- Диапазон частот повторения импульсов непрерывноволнового допплера: не менее 1-48 кГц,
- Диапазон записи скорости непрерывноволнового допплера: не менее 0,1-40 м/с
- Диапазон регулировки положения и объема импульсно-волнового допплера: не менее 0,5 - 24 мм,
- Частота повторения импульсов импульсно-волнового допплера (PW): не менее 1-25 кГц, HPRF,
- Диапазон записи скорости импульсно-волнового допплера (PW): не менее 0,5-27 м/с.
Объемная визуализация
- Статическая скорость 3D/4D: не менее 36 кадров в секунду,
- Максимальное количество срезов: не менее 29,
- Гестационный возраст: от 6 до 40 недель,
- Варианты вращения: 0°, 45°, 90°, 180°, 270°,
- Кадрирование: не менее 10°–120°,
- Глубина сканирования: не менее 250 мм,
Интеллектуальная система анатомического наведения.
Система должна иметь интегрированную интеллектуальную технологию наведения, обеспечивающую: наведение по позиционированию датчика, отображение анатомической схемы, отображение стандартных ультразвуковых изображений, стандартные плоскости исследования, интерактивную поддержку, поддержку не менее 80 стандартных плоскостей исследования.
Автоматизированная система организации процесса исследования.
Система должна обеспечивать автоматизированное управление рабочим процессом для сосудистых и акушерских обследований, отображение эталонных изображений стандартных размеров, поддержку управления этапами обследования, автоматизированное руководство по акушерским обследованиям: ранняя беременность, толщина воротниковой складки, программы скрининга для всех трех триместров.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ИДЖЕВАНСКИЙ ЦЕНТР ПЕРВИЧНОЙ ОХРАНЫ ЗДОРОВЬЯ закрытое акционерное общество (ЗАО)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финансовые ресурсы предусмотрены после заключения договора, то в течение 40 календарных дней с даты вступления соглашения в силу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