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топлива для нужд ЗАО «Республиканский центр гематологии и онкологии имени Йоляна»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ՅԱԿ-ԷԱՃԱՊՁԲ-26/63</w:t>
      </w:r>
      <w:r w:rsidRPr="00E4651F">
        <w:rPr>
          <w:rFonts w:asciiTheme="minorHAnsi" w:hAnsiTheme="minorHAnsi" w:cstheme="minorHAnsi"/>
          <w:i/>
        </w:rPr>
        <w:br/>
      </w:r>
      <w:r w:rsidR="00A419E4" w:rsidRPr="00E4651F">
        <w:rPr>
          <w:rFonts w:asciiTheme="minorHAnsi" w:hAnsiTheme="minorHAnsi" w:cstheme="minorHAnsi"/>
          <w:szCs w:val="20"/>
          <w:lang w:val="af-ZA"/>
        </w:rPr>
        <w:t>---</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топлива для нужд ЗАО «Республиканский центр гематологии и онкологии имени Йоляна»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топлива для нужд ЗАО «Республиканский центр гематологии и онкологии имени Йоляна»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топлива для нужд ЗАО «Республиканский центр гематологии и онкологии имени Йоляна»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Октановое число, определяемое исследовательским методом: не менее 91. Моторным методом: не менее 81. Содержание свинца: не более 5 мг/дм³. Плотность: при температуре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Безопасность, маркировка и упаковка должны соответствовать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Организация-поставщик должна иметь как минимум одну автозаправочную станцию ​​в Арабкирском и Канакер-Зейтунском административных районах Еревана, в Горисе, Гюмри, Ванадзоре, Армавире и Раздане.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ресурсов, до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