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ՀՀՏԿԵՆ-Ջ-ԷԱՃԱՊՁԲ-26/24 ծածկագրով էլեկտրոնային աճուրդի ընթացակարգով յուղերի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ՀՀՏԿԵՆ-Ջ-ԷԱՃԱՊՁԲ-26/24 ծածկագրով էլեկտրոնային աճուրդի ընթացակարգով յուղերի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ՀՀՏԿԵՆ-Ջ-ԷԱՃԱՊՁԲ-26/24 ծածկագրով էլեկտրոնային աճուրդի ընթացակարգով յուղերի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ՀՀՏԿԵՆ-Ջ-ԷԱՃԱՊՁԲ-26/24 ծածկագրով էլեկտրոնային աճուրդի ընթացակարգով յուղերի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կիսասինթետիկ՝ նախատեսված բենզինային շարժիչների համար:
Միջազգային ստանդարտներ՝ API SG/CD:
Մածուցիկության դասը՝ 10W-40:
Արտադրության տարեթիվը՝ 2025-2026 թ.:
Փաթեթավորումը՝ 5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հանքային՝ նախատեսված բենզինային շարժիչների համար:
Միջազգային ստանդարտներ՝ API SF/CD:
Մածուցիկության աստիճանը՝ 15W-40:
Արտադրության տարեթիվը՝ 2025-2026 թ.
Փաթեթավորումը՝ 5 լիտր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