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օդորակիչների ձեռքբերման նպատակով ԵՄ-ԷԱՃԱՊՁԲ-26/50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օդորակիչների ձեռքբերման նպատակով ԵՄ-ԷԱՃԱՊՁԲ-26/50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օդորակիչների ձեռքբերման նպատակով ԵՄ-ԷԱՃԱՊՁԲ-26/50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օդորակիչների ձեռքբերման նպատակով ԵՄ-ԷԱՃԱՊՁԲ-26/50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2026.06.09.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ԵՄ-ԷԱՃԱՊՁԲ-26/50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ԵՄ-ԷԱՃԱՊՁԲ-26/50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հիմնական ռեժիմները՝ տաքացում և սառեցում, հզորությունը սառեցման ռեժիմում՝ 12000 BTU, ծախսը սառեցման ռեժիմում՝ 1100 Վտ/ժ (թույլատրվող շեղումը +- 10%), ծախսը ջեռուցման ռեժիմում՝ 1000 Վտ/ժ (թույլատրվող շեղումը +- 10%), աշխատանքային մակերեսը՝ 40մ2, աշխատանքային ջերմաստիճանը մինչև (-7 C), ներքին բլոկի չափերը՝ 80x28x20 սմ (թույլատրվող շեղումը +- 10%)։ Օդորակիչները պետք է լինեն Midea, Hisense կամ Zanussi ֆիրմայի։
Ապրանքը պետք է լինի նոր և չօգտագործված, իսկ տեղափոխումը և բեռնաթափումը իրականացնում է մատակարարը (անհրաժեշտության դեպքում հատուկ տեխնիկայի օգտագործմամբ):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