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ԵՄ-ԷԱՃԱՊՁԲ-26/50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ԵՄ-ԷԱՃԱՊՁԲ-26/50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ԵՄ-ԷԱՃԱՊՁԲ-26/50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ԵՄ-ԷԱՃԱՊՁԲ-26/50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основные режимы — обогрев и охлаждение, мощность в режиме охлаждения — 12000 BTU, потребление в режиме охлаждения — 1100 Вт/ч (допустимое отклонение ±10%), потребление в режиме обогрева — 1000 Вт/ч (допустимое отклонение ±10%), обслуживаемая площадь — 40 м², рабочая температура — до (-7 °C), размеры внутреннего блока — 80x28x20 см (допустимое отклонение ±10%). Кондиционеры должны быть марки Midea, Hisense или Zanussi.
Товар должен быть новым и неиспользованным, а транспортировку и разгрузку осуществляет поставщик (при необходимости с использованием специальной техники).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