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Копировальное оборудование и 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ՀԱԷԿ-ԷԱՃԱՊՁԲ-62/26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Копировальное оборудование и 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Копировальное оборудование и 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Копировальное оборудование и 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Pixma G3416 или эквивалентный  Canon Pixma G3410, Epson EcoTank L3250
В комплекте должен быть кабель для подключения к компьютеру и  чернила соответствующие МФУ, минимум 300 мл каждого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формата А3 (СНПЧ) Epson  L11050, Epson  L18050 или Canon iX6780.В комплекте должен быть кабель для подключения к компьютеру и  чернила соответствующие принтеру, минимум 300 мл каждого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1500VA, 1500WT, гарантийный срок аккумулятора не менее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1000/900 ВА/Вт. Номинальное напряжение 220-240 В. Диапазон напряжения 160-276 В  переменного тока (до 120-276В, в зависимости от уровня нагрузки). Диапазон частоты 50/60 ± 10% Гц. Размеры 155х230х380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