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ՀԳՊԱ-ԷԱՃԱՊՁԲ-26/6-2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ԳԵՂԱՐՎԵՍՏԻ ՊԵՏԱԿԱՆ ԱԿԱԴԵՄԻԱ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Իսահակյան 36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գեղարվեստի պետական ակադեմիայի կարիքների համար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Ջեմմա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010(58-07-54)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s.avetisyan777@gmail.com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ԳԵՂԱՐՎԵՍՏԻ ՊԵՏԱԿԱՆ ԱԿԱԴԵՄԻԱ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ՀԳՊԱ-ԷԱՃԱՊՁԲ-26/6-2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ԳԵՂԱՐՎԵՍՏԻ ՊԵՏԱԿԱՆ ԱԿԱԴԵՄԻԱ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ԳԵՂԱՐՎԵՍՏԻ ՊԵՏԱԿԱՆ ԱԿԱԴԵՄԻԱ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գեղարվեստի պետական ակադեմիայի կարիքների համար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ԳԵՂԱՐՎԵՍՏԻ ՊԵՏԱԿԱՆ ԱԿԱԴԵՄԻԱ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գեղարվեստի պետական ակադեմիայի կարիքների համար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ՀԳՊԱ-ԷԱՃԱՊՁԲ-26/6-2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s.avetisyan777@gmail.com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գեղարվեստի պետական ակադեմիայի կարիքների համար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ԳԵՂԱՐՎԵՍՏԻ ՊԵՏԱԿԱՆ ԱԿԱԴԵՄԻԱ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ՀԳՊԱ-ԷԱՃԱՊՁԲ-26/6-2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ՀԳՊԱ-ԷԱՃԱՊՁԲ-26/6-2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«ՀԳՊԱ-ԷԱՃԱՊՁԲ-26/6-2»*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ԳԵՂԱՐՎԵՍՏԻ ՊԵՏԱԿԱՆ ԱԿԱԴԵՄԻԱ ՀԻՄՆԱԴՐԱՄ*  (այսուհետ` Պատվիրատու) կողմից կազմակերպված` ՀԳՊԱ-ԷԱՃԱՊՁԲ-26/6-2*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«ՀԳՊԱ-ԷԱՃԱՊՁԲ-26/6-2»*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ԳԵՂԱՐՎԵՍՏԻ ՊԵՏԱԿԱՆ ԱԿԱԴԵՄԻԱ ՀԻՄՆԱԴՐԱՄ*  (այսուհետ` Պատվիրատու) կողմից կազմակերպված` ՀԳՊԱ-ԷԱՃԱՊՁԲ-26/6-2*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ԳԵՂԱՐՎԵՍՏԻ ՊԵՏԱԿԱՆ ԱԿԱԴԵՄԻԱ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Օկտանային թիվը որոշված՝հետազոտական մեթոդով՝ոչ պակաս 95: Շարժիչային մեթոդով՝ ոչ պակաս 85:Կապարի պարունակությունը՝5մգ/դմ3-ից ոչ պակաս: Խտությունը՝ 15 0C ջերմաստիճանում՝720-775կգ/մ3: Ծծմբի պարունակությունը՝10մգ/կգ-ից ոչ ավելի:Ածխաջրածինների ծավալային մասը,ոչ ավել ավելի ՝արոմատիկ-35%, օլեֆիններ՝ 18%,բենզոլի ծավալային մասը 1% ոչ ավելի: Թթվածնի զանգվածային մասը՝2,7% ոչ ավելի, օքսիդիչների ծավալային մասը, ոչ ավելի՝մեթանոլ-3տոկոս%, էթանոլ-5%, իզոպրոպիլ սպիրտ-10%, իզոբութիլ սպիրտ-10%, եռաբութիլ սպիրտ-7%,եթերներ(C5 և ավելի)-15%, այլ օքսիդիչներ-10%: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Մատակարարումը կատարել 10 լիտր և/կամ 20 լիտր հավասարաչափ բաշխված կտրոնների տեսքով: Մատակարարումը  ըստ պատվիրատուի գնման հայտի: Կտրոնների ժամկետը ոչ պակաս քան 2026 թվականի դեկտեմբերի 25-ը: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Իսահակյան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