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Государственной академии художеств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ՀԳՊԱ-ԷԱՃԱՊՁԲ-26/6-2</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Государственной академии художеств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Государственной академии художеств Армении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Государственной академии художеств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определенное исследовательским методом — не менее 95.
Октановое число, определенное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в виде талонов (применяется только в случае приобретения в литрах).
Безопасность, маркировка и упаковка — в соответствии с «Техническим регламентом на моторные топлива для двигателей внутреннего сгорания», утвержденным постановлением Правительства РА от 11 ноября 2004 г. № 1592-Н.
Поставка осуществляется в виде равномерно распределенных талонов номиналом 10 литров и/или 20 литров.
Поставка осуществляется согласно заявке на закупку заказчика.
Срок действия талонов — не менее чем до 25 декабря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Исаакяна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