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PTSEA-APDZB-2026/3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Армянский фонд территориального развития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ул. Улнеци 31, РА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компьютерных устройств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Егиазарян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a.eghiazaryan@atdf.am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41 500 760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Армянский фонд территориального развития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PTSEA-APDZB-2026/3</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Армянский фонд территориального развития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Армянский фонд территориального развития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компьютерных устройств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компьютерных устройств</w:t>
      </w:r>
      <w:r w:rsidR="00812F10" w:rsidRPr="00E4651F">
        <w:rPr>
          <w:rFonts w:cstheme="minorHAnsi"/>
          <w:b/>
          <w:lang w:val="ru-RU"/>
        </w:rPr>
        <w:t xml:space="preserve">ДЛЯ НУЖД </w:t>
      </w:r>
      <w:r w:rsidR="0039665E" w:rsidRPr="0039665E">
        <w:rPr>
          <w:rFonts w:cstheme="minorHAnsi"/>
          <w:b/>
          <w:u w:val="single"/>
          <w:lang w:val="af-ZA"/>
        </w:rPr>
        <w:t>Армянский фонд территориального развития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PTSEA-APDZB-2026/3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a.eghiazaryan@atdf.am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компьютерных устройств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PTSEA-APDZB-2026/3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Армянский фонд территориального развития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PTSEA-APDZB-2026/3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PTSEA-APDZB-2026/3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"PTSEA-APDZB-2026/3"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PTSEA-APDZB-2026/3*.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"PTSEA-APDZB-2026/3"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фонд территориального развития*(далее — Заказчик) процедуре закупок под кодом PTSEA-APDZB-2026/3*.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фонд территориального развития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PTSEA-APDZB-2026/3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ниже I5 14-го поколения или эквивалент
Материнская плата: H610 / Cooler Gammax 400
Оперативная память: не менее 16GB DDR4
Накопители: SSD 256GB M.2 PCIe и HDD 2TB SATA3 7200rpm
Дискретная видеокарта: не менее 4GB 128bit
Блок питания: не менее 500W
Передняя панель: не менее 2×USB 3.2 Gen1 Type-A, 1×Audio
Питание: 220V
Клавиатура USB (русская и английская раскладки), кабель не менее 1.5 м
Мышь USB 1200dpi, кабель не менее 1.5 м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24'' WLED IPS, формат 16:9 Full HD 1920×1080
Видеовходы: VGA, HDMI
16.7 млн цветов
Время отклика: максимум 5 мс
Яркость: не менее 200 cd/m²
Питание: 220V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Тип — Line-Interactive
Мощность — не менее 650VA и 375W
Диапазон входного напряжения — 170V–280V
Входная частота — 50/60Hz с автоматическим распознаванием
Наличие функции автоматической стабилизации напряжения AVR
Время переключения — не более 10 мс
Форма выходного сигнала — ступенчатая аппроксимация синусоиды (Stepped approximation to sine wave)
Выходные розетки — 4 шт. Schuko (CEE 7)
Все розетки должны обеспечивать резервное питание от батареи и защиту от перенапряжения
Аккумулятор — Sealed Lead Acid (VRLA), 12V / 7Ah
Время зарядки аккумулятора — не более 8 часов
Наличие функции холодного старта (Cold Start)
Гарантия —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устройства
Многофункциональное черно-белое лазерное устройство (формат A4)
Функции
Принтер, копировальный аппарат и сканер
Месячный рабочий цикл
Не менее 50 000 страниц/месяц
Емкость входного лотка для бумаги
Не менее 250 листов
Скорость печати (A4)
Не менее 40 страниц/минуту
Максимальное разрешение печати
Не менее 1200 × 1200 dpi
Разрешение печати (нормальный режим)
Не менее 600 × 600 dpi
Время печати первой страницы
Не более 7,2 секунды
Скорость копирования (A4)
Не менее 40 страниц/минуту
Разрешение копирования
Не менее 600 × 600 dpi
Оптическое разрешение сканирования
Не менее 600 × 600 dpi
Повышенное (enhanced/interpolated) разрешение сканирования
До 9600 × 9600 dpi
Глубина цветного сканирования
Не менее 24-bit input / 24-bit output
Электропитание
Single-phase AC 220V, 50Hz
Интерфейсы подключения
Не менее USB и Ethernet
Двусторонняя печать
Наличие
Поддержка операционных систем
Windows 10/11 или эквивалент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К.Улнеци 31/1, 3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23 календарных дней со дня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