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հիմնական ռեժիմները՝ տաքացում և սառեցում, հզորությունը սառեցման ռեժիմում՝ 12000 BTU, ծախսը սառեցման ռեժիմում՝ 1100 Վտ/ժ (թույլատրվող շեղումը +- 10%), ծախսը ջեռուցման ռեժիմում՝ 1000 Վտ/ժ (թույլատրվող շեղումը +- 10%), աշխատանքային մակերեսը՝ 40մ2, աշխատանքային ջերմաստիճանը մինչև (-7 C),ներքին բլոկի չափերը՝ 80x28x20 սմ (թույլատրվող շեղումը +- 10%): Տեղափոխումը և տեղադրումը մատակարարի կողմից (անհրաժեշտության դեպքում հատուկ տեխնիկայի օգտագործմամբ)։ Օդորակիչները պետք է լինեն Midea, Hisense կամ Zanussi ֆիրմայի։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