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Сельскохозяйственных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ԲԷՑ-ԷԱՃԱՊՁԲ-26/14</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Сельскохозяйственных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Сельскохозяйственных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Сельскохозяйственных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9</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действующего вещества: Глифосат (в виде калиевой соли).
Концентрация действующего вещества: Не менее 500 г/л (в кислотном эквиваленте).
Препаративная форма: Водорастворимый концентрат (ВРК) или водный раствор (ВР).
Препарат должен обеспечивать полное уничтожение однолетних и многолетних сорняков.
 Препарат должен содержать встроенную систему поверхностно-активных веществ (ПАВ/адъювантов), обеспечивающую быстрое проникновение действующего вещества в растение и устойчивость к смыванию дождем (дождестойкость) минимум через 2 часа после обработки.
Упаковка: В оригинальной, заводской герметично закрытой пластиковой таре емкостью 1 литр.
Срок годности: На момент поставки остаточный срок годности препарата должен составлять не менее 75% от общего срока годности, предусмотренного заводом-изготовителем со дня производства.
Доставка и разгрузка товара осуществляются силами и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календарного дня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