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ABH-EAAPDzB-26/95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ABH-EAAPDzB-26/95</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ABH-EAAPDzB-26/95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"ABH-EAAPDzB-26/95"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ABH-EAAPDzB-26/95*.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"ABH-EAAPDzB-26/95"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ABH-EAAPDzB-26/95*.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ABH-EAAPDzB-26/95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для окраски строительных поверхностей. Цветовая гамма по каталогу RAL, полуглянцевая (semi-gloss).
Краска должна быть однородной, без осадка и комков, обеспечивать равномерное покрытие и нормальное высыхание.
Товар должен быть новым, неиспользованным, в заводской упаковке.
Маркировка должна содержать:
•	наименование производителя; 
•	номер партии; 
•	правила применения; 
•	срок годности. 
Необходимо предоставить паспорт качества и/или технические условия (ТУ).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(на водной основе) для внутренних и/или наружных работ (по требованию — из цветовой гаммы RAL).
Краска должна обладать высокой укрывистостью, хорошей адгезией, однородной консистенцией и не содержать посторонних примесей.
Товар должен быть новым, неиспользованным, в заводской упаковке.
Маркировка должна содержать:
•	наименование производителя; 
•	номер партии; 
•	срок годности. 
Необходимо предоставить паспорт качества и/или технические условия (ТУ).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толщиной 4 мм.
Стекло должно быть без трещин, а также без существенных царапин и деформаций (искажений).
Упаковка должна обеспечивать безопасную транспортировку, с использованием прокладочных материалов (межслойных прокладок).
Продукция должна соответствовать требованиям ГОСТ 111-2001 или эквивалентного стандарта.
Товар должен быть новым, неиспользованным.
Транспортировка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