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ԳԻՏԱԿԱՆ ՄԱՍԻ ԿԱՐԻՔՆԵՐԻ ՀԱՄԱՐ ՀԱՊՀ-ԷԱԱՊՁԲ-26/23 ԾԱԾԿԱԳՐՈՎ ՀԱՄԱԿԱՐԳՉԱՅԻՆ ՏԵԽՆԻԿԱՅԻ ԵՎ ՊԱՐԱԳԱՆԵՐԻ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ԳԻՏԱԿԱՆ ՄԱՍԻ ԿԱՐԻՔՆԵՐԻ ՀԱՄԱՐ ՀԱՊՀ-ԷԱԱՊՁԲ-26/23 ԾԱԾԿԱԳՐՈՎ ՀԱՄԱԿԱՐԳՉԱՅԻՆ ՏԵԽՆԻԿԱՅԻ ԵՎ ՊԱՐԱԳԱՆԵՐԻ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ԳԻՏԱԿԱՆ ՄԱՍԻ ԿԱՐԻՔՆԵՐԻ ՀԱՄԱՐ ՀԱՊՀ-ԷԱԱՊՁԲ-26/23 ԾԱԾԿԱԳՐՈՎ ՀԱՄԱԿԱՐԳՉԱՅԻՆ ՏԵԽՆԻԿԱՅԻ ԵՎ ՊԱՐԱԳԱՆԵՐԻ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ԳԻՏԱԿԱՆ ՄԱՍԻ ԿԱՐԻՔՆԵՐԻ ՀԱՄԱՐ ՀԱՊՀ-ԷԱԱՊՁԲ-26/23 ԾԱԾԿԱԳՐՈՎ ՀԱՄԱԿԱՐԳՉԱՅԻՆ ՏԵԽՆԻԿԱՅԻ ԵՎ ՊԱՐԱԳԱՆԵՐԻ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ԳԻՏԱԿԱՆ ՄԱՍԻ ԿԱՐԻՔՆԵՐԻ ՀԱՄԱՐ ՀԱՄԱԿԱՐԳՉԱՅԻՆ ՏԵԽՆԻԿԱՅԻ ԵՎ ՊԱՐԱԳԱՆԵՐԻ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