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SHMANH-EAJAPDZB-26/5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Ани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г.Маралик, Мадатян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Светофоры для нужд муниципалитета Ани Ширакской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Սաթենիկ Զաքարյան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ani.hamaynqapetaran.91@mail.ru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+374 242 2-29-11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Ани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SHMANH-EAJAPDZB-26/5</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Ани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Ани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Светофоры для нужд муниципалитета Ани Ширакской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Светофоры для нужд муниципалитета Ани Ширакской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Ани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SHMANH-EAJAPDZB-26/5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ani.hamaynqapetaran.91@mail.ru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Светофоры для нужд муниципалитета Ани Ширакской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светофоры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Ани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"SHMANH-EAJAPDZB-26/5"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Ани*(далее — Заказчик) процедуре закупок под кодом SHMANH-EAJAPDZB-26/5*.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"SHMANH-EAJAPDZB-26/5"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Ани*(далее — Заказчик) процедуре закупок под кодом SHMANH-EAJAPDZB-26/5*.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Ани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SHMANH-EAJAPDZB-26/5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светофоры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город Маралик, пересечение улиц Мадатяна-Аркадия Тер-Тадевосяна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Настоящее Соглашение вступает в силу в течение 20 календарных дней с момента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светофоры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