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հակավիրուսային ծրագրային փաթեթի գնում ԵՊՀ-ԷԱՃԱՊՁԲ-26/133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հակավիրուսային ծրագրային փաթեթի գնում ԵՊՀ-ԷԱՃԱՊՁԲ-26/133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հակավիրուսային ծրագրային փաթեթի գնում ԵՊՀ-ԷԱՃԱՊՁԲ-26/133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հակավիրուսային ծրագրային փաթեթի գնում ԵՊՀ-ԷԱՃԱՊՁԲ-26/133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ծրագրային փաթեթ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հակավիրուսային ծրագրային փաթեթի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տեղեկատվական համակարգերի սպասարկման և զարգա
ցման վարչություն: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ծրագրային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առկա ESET PROTECT Entry on-prem թվով 100 լիցենզիաների թարմացում ESET PROTECT Elite  լիցենզիայով՝ 8 ամիս ժամկետով։(Առկա լիցենզիաները ավարտվում են 27.02.2027թ․)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հաշված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ծրագրային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