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книг-компендиумов прецедентных решений Кассационного суда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Гаяне Дадиванян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DD-EAAPDzB-26/09</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книг-компендиумов прецедентных решений Кассационного суда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книг-компендиумов прецедентных решений Кассационного суда</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книг-компендиумов прецедентных решений Кассационного суда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Книга-компендиум прецедентных решений Кассационного суда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Книга-компендиум прецедентных решений Кассационного суда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DD-EAAPDzB-26/09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DD-EAAPDzB-26/09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считая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Книга-компендиум прецедентных решений Кассационного суда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КОМПЕНДИУМ РЕШЕНИЙ СУДЕБНОГО СОСТАВА ПО РАССМОТРЕНИЮ КОРРУПЦИОННЫХ ПРЕСТУПЛЕНИЙ УГОЛОВНОЙ И АНТИКОРРУПЦИОННОЙ ПАЛАТ КАССАЦИОННОГО СУДА ЗА 2024-2025 ГОДЫ, ТОМ 15.
Размер: 165x240 мм.
Ядро: 1000 страниц (допустимое отклонение: +, - 10%), 1+1, офсетная 70г., 1 или 2 страницы – цветные.
Блок: ниткошвейный-термо. 
Форзац: офсетная 120г. с ленточкой-закладкой.
Переплет – твердый, бордового цвета, с золотым конгревным тиснением.
Корешок – круглый.
Текст для печати, сведения о шрифте и его размере, а также о цветной странице (страницах) предоставляются Покупателем Продавцу заранее на электронном носителе. Внешний вид заранее согласуется с Покупателем. Товары должны быть упакованные. Перевозку и разгрузку товаров на склад Покупателя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Книга-компендиум прецедентных решений Кассационного суда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КОМПЕНДИУМ РЕШЕНИЙ СУДЕБНОГО СОСТАВА ПО РАССМОТРЕНИЮ ГРАЖДАНСКИХ ДЕЛ ГРАЖДАНСКОЙ И АДМИНИСТРАТИВНОЙ ПАЛАТ И АНТИКОРРУПЦИОННОЙ ПАЛАТЫ КАССАЦИОННОГО СУДА ЗА 2024-2025 ГОДЫ, ТОМ 17.
Размер: 165x240 мм.
Ядро: 1000 страниц (допустимое отклонение: +, - 10%), 1+1, офсетная 70г., 1 или 2 страницы – цветные.
Блок: ниткошвейный-термо. 
Форзац: офсетная 120г. с ленточкой-закладкой.
Переплет – твердый, бордового цвета, с золотым конгревным тиснением.
Корешок – круглый.
Текст для печати, сведения о шрифте и его размере, а также о цветной странице (страницах) предоставляются Покупателем Продавцу заранее на электронном носителе. Внешний вид заранее согласуется с Покупателем. Товары должны быть упакованные. Перевозку и разгрузку товаров на склад Покупателя осуществляет Продавец за счет своих средств, заранее согласовав с Покупателем конкретный адрес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днем предоставления Продавцу электронного носителя после вступления в силу условия исполнения прав и обязанностей сторон, предусмотренных договором.  При этом, Покупатель предоставляет Продавцу электронный носитель в течение 15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днем предоставления Продавцу электронного носителя после вступления в силу условия исполнения прав и обязанностей сторон, предусмотренных договором.  При этом, Покупатель предоставляет Продавцу электронный носитель в течение 15 календарных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