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чисто-прозрачный, октановое 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не более 1 %, плотность при 15°С от 720 до 775 кг/м3, содержание серы не более 10 мг/кг, массовая доля кислорода не более 2,7 %, объемные окислители не более метанола-3 % , этанол-5%, изопропиловый спирт-10%, изобутиловый спирт-10%, трибутиловый спирт-7%, эфиры (C5 և более)-15%, другие окислители-10%, безопасность, маркировкаև упаковка согласно Правительство РА 2004г. «Технический регламент топлив для двигателей внутреннего сгорания», утвержденный постановлением N 1592-Н от 11 ноября 2006 г. Доставка: купон.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город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