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ԲԿԳԿ-ԷԱՃԱՊՁԲ-26/54</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Օրբելի եղբայրների փողոց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կոմիտեի կարիքների համար գիտական սարքերի և սարքավորումների ձեռքբերման նպատակով ԲԿԳԿ-ԷԱՃԱՊՁԲ-26/54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Լաուրա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11)</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Բարձրագույն կրթության և գիտության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ԲԿԳԿ-ԷԱՃԱՊՁԲ-26/54</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Բարձրագույն կրթության և գիտության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Բարձրագույն կրթության և գիտության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Բարձրագույն կրթության և գիտության կոմիտեի կարիքների համար գիտական սարքերի և սարքավորումների ձեռքբերման նպատակով ԲԿԳԿ-ԷԱՃԱՊՁԲ-26/54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Բարձրագույն կրթության և գիտության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Բարձրագույն կրթության և գիտության կոմիտեի կարիքների համար գիտական սարքերի և սարքավորումների ձեռքբերման նպատակով ԲԿԳԿ-ԷԱՃԱՊՁԲ-26/54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ԲԿԳԿ-ԷԱՃԱՊՁԲ-26/54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Բարձրագույն կրթության և գիտության կոմիտեի կարիքների համար գիտական սարքերի և սարքավորումների ձեռքբերման նպատակով ԲԿԳԿ-ԷԱՃԱՊՁԲ-26/54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ՊՇՌ (dPCR) համակարգ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12:00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368.54</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5.0046</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428.98</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2026.06.17.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ԲԿԳԿ-ԷԱՃԱՊՁԲ-26/54</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Բարձրագույն կրթության և գիտության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ԲԿԳԿ-ԷԱՃԱՊՁԲ-26/54</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ԲԿԳԿ-ԷԱՃԱՊՁԲ-26/54</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ԲԿԳԿ-ԷԱՃԱՊՁԲ-26/54</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ԲԿԳԿ-ԷԱՃԱՊՁԲ-26/54</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«ԲԿԳԿ-ԷԱՃԱՊՁԲ-26/54»*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Բարձրագույն կրթության և գիտության կոմիտե</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ԲԿԳԿ-ԷԱՃԱՊՁԲ-26/54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900011045565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«ԲԿԳԿ-ԷԱՃԱՊՁԲ-26/54»*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«ԲԿԳԿ-ԷԱՃԱՊՁԲ-26/54»*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ԲԿԳԿ-ԷԱՃԱՊՁԲ-26/54*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ԲԿԳԿ-ԷԱՃԱՊՁԲ-26/54</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«ԲԿԳԿ-ԷԱՃԱՊՁԲ-26/54»*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ԲԿԳԿ-ԷԱՃԱՊՁԲ-26/54*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«ԲԿԳԿ-ԷԱՃԱՊՁԲ-26/54»*  ծածկագրով</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Բարձրագույն կրթության և գիտության կոմիտե</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ԲԱՐՁՐԱԳՈՒՅՆ ԿՐԹՈՒԹՅԱՆ և ԳԻՏՈՒԹՅԱՆ ԿՈՄԻՏԵԻ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ՊՇՌ (dPCR)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 Սևակ 7, 0014,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2 ամսվա ընթացքում, բացառությամբ այն դեպքերի, երբ ապրանքի մատակարարը համաձայն է ավելի շուտ ժամկետներում մատակարարել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