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общих нужд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ԵՊՀ-ԷԱՃԱՊՁԲ-26/134</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общих нужд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общих нужд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общих нужд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2‑полосная активная акустическая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8.15.Библиотека Саргиса и Марии Измирлян при Университете Янгстауна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2‑полосная активная акустическая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мощность системы (Peak Power) не менее 1200 Вт, непрерывная мощность (RMS/Continuous) не менее 600 Вт, максимальное звуковое давление (SPL) не менее 130 дБ, диапазон частот 45 Гц – 20 000 Гц, низкочастотный динамик (Woofer) диаметром 15", с звуковой катушкой не менее 2.5", компрессионный высокочастотный драйвер (HF Driver) с выходом не менее 1" и звуковой катушкой 1.75", сопротивление не менее 4 Ом, встроенная цифровая DSP-обработка с технологиями оптимизации и защиты звука.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системы: беспроводная, не менее 4-канальная. Комплект должен включать 1 приемную базу и 4 ручных микрофона. Тип связи: беспроводной радиочастотный (RF). Диапазон передаваемых частот не уже 20 Гц – 20 кГц, соотношение сигнал/шум (SNR) не менее 90 дБ, чувствительность микрофона не менее -40 дБ ±2 дБ. Питание от батареек типа AA или эквивалентных перезаряжаемых элементов питания. Система должна обеспечивать стабильный сигнал и защиту от помех. Приемник должен иметь не менее XLR или Jack аудиовыходов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20–35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2‑полосная активная акустическая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