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B0" w:rsidRPr="00244BEA" w:rsidRDefault="002359B0" w:rsidP="002359B0">
      <w:pPr>
        <w:spacing w:after="0"/>
        <w:jc w:val="right"/>
        <w:rPr>
          <w:rFonts w:ascii="GHEA Grapalat" w:hAnsi="GHEA Grapalat" w:cs="Sylfaen"/>
          <w:lang w:val="hy-AM"/>
        </w:rPr>
      </w:pPr>
      <w:r w:rsidRPr="00AF30F7">
        <w:rPr>
          <w:rFonts w:ascii="GHEA Grapalat" w:hAnsi="GHEA Grapalat" w:cs="Sylfaen"/>
          <w:lang w:val="hy-AM"/>
        </w:rPr>
        <w:t>Հավելված</w:t>
      </w:r>
    </w:p>
    <w:p w:rsidR="002359B0" w:rsidRPr="00AF30F7" w:rsidRDefault="002359B0" w:rsidP="002359B0">
      <w:pPr>
        <w:spacing w:after="0"/>
        <w:jc w:val="right"/>
        <w:rPr>
          <w:rFonts w:ascii="GHEA Grapalat" w:hAnsi="GHEA Grapalat" w:cs="Sylfaen"/>
          <w:lang w:val="hy-AM"/>
        </w:rPr>
      </w:pPr>
      <w:r w:rsidRPr="00AF30F7">
        <w:rPr>
          <w:rFonts w:ascii="GHEA Grapalat" w:hAnsi="GHEA Grapalat" w:cs="Sylfaen"/>
          <w:lang w:val="hy-AM"/>
        </w:rPr>
        <w:t>պատասխանատու ստորաբաժանման</w:t>
      </w:r>
    </w:p>
    <w:p w:rsidR="002359B0" w:rsidRPr="00AF30F7" w:rsidRDefault="002359B0" w:rsidP="002359B0">
      <w:pPr>
        <w:jc w:val="right"/>
        <w:rPr>
          <w:rFonts w:ascii="GHEA Grapalat" w:hAnsi="GHEA Grapalat" w:cs="Sylfaen"/>
          <w:lang w:val="hy-AM"/>
        </w:rPr>
      </w:pPr>
      <w:r w:rsidRPr="00AF30F7">
        <w:rPr>
          <w:rFonts w:ascii="GHEA Grapalat" w:hAnsi="GHEA Grapalat" w:cs="Sylfaen"/>
          <w:lang w:val="hy-AM"/>
        </w:rPr>
        <w:t>«</w:t>
      </w:r>
      <w:r>
        <w:rPr>
          <w:rFonts w:ascii="GHEA Grapalat" w:hAnsi="GHEA Grapalat" w:cs="Sylfaen"/>
          <w:lang w:val="hy-AM"/>
        </w:rPr>
        <w:t>2</w:t>
      </w:r>
      <w:r>
        <w:rPr>
          <w:rFonts w:ascii="GHEA Grapalat" w:hAnsi="GHEA Grapalat" w:cs="Sylfaen"/>
        </w:rPr>
        <w:t>2</w:t>
      </w:r>
      <w:r>
        <w:rPr>
          <w:rFonts w:ascii="GHEA Grapalat" w:hAnsi="GHEA Grapalat" w:cs="Sylfaen"/>
          <w:lang w:val="hy-AM"/>
        </w:rPr>
        <w:t>» մայիս</w:t>
      </w:r>
      <w:r w:rsidRPr="00AF30F7">
        <w:rPr>
          <w:rFonts w:ascii="GHEA Grapalat" w:hAnsi="GHEA Grapalat" w:cs="Sylfaen"/>
          <w:lang w:val="hy-AM"/>
        </w:rPr>
        <w:t xml:space="preserve"> 202</w:t>
      </w:r>
      <w:r>
        <w:rPr>
          <w:rFonts w:ascii="GHEA Grapalat" w:hAnsi="GHEA Grapalat" w:cs="Sylfaen"/>
          <w:lang w:val="hy-AM"/>
        </w:rPr>
        <w:t>6</w:t>
      </w:r>
      <w:r w:rsidRPr="00AF30F7">
        <w:rPr>
          <w:rFonts w:ascii="GHEA Grapalat" w:hAnsi="GHEA Grapalat" w:cs="Sylfaen"/>
          <w:lang w:val="hy-AM"/>
        </w:rPr>
        <w:t xml:space="preserve">թ. </w:t>
      </w:r>
      <w:r w:rsidRPr="002359B0">
        <w:rPr>
          <w:lang w:val="hy-AM"/>
        </w:rPr>
        <w:t>կազմված</w:t>
      </w:r>
      <w:r w:rsidRPr="00AF30F7">
        <w:rPr>
          <w:rFonts w:ascii="GHEA Grapalat" w:hAnsi="GHEA Grapalat" w:cs="Sylfaen"/>
          <w:lang w:val="hy-AM"/>
        </w:rPr>
        <w:t xml:space="preserve"> արձանագրության</w:t>
      </w:r>
    </w:p>
    <w:p w:rsidR="002359B0" w:rsidRDefault="002359B0" w:rsidP="002359B0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2359B0" w:rsidRPr="006B4282" w:rsidRDefault="002359B0" w:rsidP="002359B0">
      <w:pPr>
        <w:spacing w:after="0"/>
        <w:jc w:val="center"/>
        <w:rPr>
          <w:rFonts w:ascii="GHEA Grapalat" w:hAnsi="GHEA Grapalat"/>
          <w:b/>
          <w:lang w:val="hy-AM"/>
        </w:rPr>
      </w:pPr>
      <w:r w:rsidRPr="006B4282">
        <w:rPr>
          <w:rFonts w:ascii="GHEA Grapalat" w:hAnsi="GHEA Grapalat"/>
          <w:b/>
          <w:lang w:val="hy-AM"/>
        </w:rPr>
        <w:t>ՀԱՅՏ</w:t>
      </w:r>
    </w:p>
    <w:p w:rsidR="002359B0" w:rsidRPr="00AF30F7" w:rsidRDefault="002359B0" w:rsidP="002359B0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 xml:space="preserve">«Հայաստանի ազգային պոլիտեխնիկական համալսարան» հիմնադրամի </w:t>
      </w:r>
      <w:r>
        <w:rPr>
          <w:rFonts w:ascii="GHEA Grapalat" w:hAnsi="GHEA Grapalat" w:cs="Sylfaen"/>
          <w:lang w:val="hy-AM"/>
        </w:rPr>
        <w:t xml:space="preserve">Վանաձորի մասնաճյուղի </w:t>
      </w:r>
      <w:r w:rsidRPr="006B4282">
        <w:rPr>
          <w:rFonts w:ascii="GHEA Grapalat" w:hAnsi="GHEA Grapalat" w:cs="Sylfaen"/>
          <w:lang w:val="hy-AM"/>
        </w:rPr>
        <w:t>կարիքների համար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համակարգչային տեխնիկայի</w:t>
      </w:r>
      <w:r w:rsidRPr="00AF30F7">
        <w:rPr>
          <w:rFonts w:ascii="GHEA Grapalat" w:hAnsi="GHEA Grapalat" w:cs="Sylfaen"/>
          <w:lang w:val="hy-AM"/>
        </w:rPr>
        <w:t xml:space="preserve">  գնման</w:t>
      </w:r>
    </w:p>
    <w:tbl>
      <w:tblPr>
        <w:tblpPr w:leftFromText="180" w:rightFromText="180" w:vertAnchor="text" w:horzAnchor="margin" w:tblpXSpec="center" w:tblpY="2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388"/>
        <w:gridCol w:w="1890"/>
        <w:gridCol w:w="4251"/>
        <w:gridCol w:w="766"/>
        <w:gridCol w:w="857"/>
        <w:gridCol w:w="1036"/>
        <w:gridCol w:w="1050"/>
        <w:gridCol w:w="3324"/>
      </w:tblGrid>
      <w:tr w:rsidR="002359B0" w:rsidRPr="009E3FAD" w:rsidTr="00941B75">
        <w:trPr>
          <w:cantSplit/>
          <w:trHeight w:val="1833"/>
        </w:trPr>
        <w:tc>
          <w:tcPr>
            <w:tcW w:w="430" w:type="dxa"/>
            <w:textDirection w:val="btLr"/>
            <w:vAlign w:val="center"/>
          </w:tcPr>
          <w:p w:rsidR="002359B0" w:rsidRPr="00AF30F7" w:rsidRDefault="002359B0" w:rsidP="00941B7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388" w:type="dxa"/>
            <w:vAlign w:val="center"/>
          </w:tcPr>
          <w:p w:rsidR="002359B0" w:rsidRPr="00AF30F7" w:rsidRDefault="002359B0" w:rsidP="00941B7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90" w:type="dxa"/>
            <w:vAlign w:val="center"/>
            <w:hideMark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4251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766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 ման միա վորը</w:t>
            </w:r>
          </w:p>
        </w:tc>
        <w:tc>
          <w:tcPr>
            <w:tcW w:w="857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036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Միավորի  գինը</w:t>
            </w:r>
          </w:p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Ներառյալ ԱԱՀ-ն</w:t>
            </w:r>
          </w:p>
        </w:tc>
        <w:tc>
          <w:tcPr>
            <w:tcW w:w="1050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Գումար</w:t>
            </w:r>
          </w:p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Ներառյալ ԱԱՀ-ն</w:t>
            </w:r>
          </w:p>
        </w:tc>
        <w:tc>
          <w:tcPr>
            <w:tcW w:w="3324" w:type="dxa"/>
            <w:vAlign w:val="center"/>
          </w:tcPr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Մատակարարման հասցե</w:t>
            </w:r>
          </w:p>
          <w:p w:rsidR="002359B0" w:rsidRPr="00AF30F7" w:rsidRDefault="002359B0" w:rsidP="00941B7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F3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ժամկետը</w:t>
            </w:r>
          </w:p>
        </w:tc>
      </w:tr>
      <w:tr w:rsidR="002359B0" w:rsidRPr="00E5658A" w:rsidTr="00941B75">
        <w:trPr>
          <w:trHeight w:val="533"/>
        </w:trPr>
        <w:tc>
          <w:tcPr>
            <w:tcW w:w="430" w:type="dxa"/>
            <w:vAlign w:val="center"/>
          </w:tcPr>
          <w:p w:rsidR="002359B0" w:rsidRPr="00163FDA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8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518D9">
              <w:rPr>
                <w:rFonts w:ascii="GHEA Grapalat" w:hAnsi="GHEA Grapalat"/>
                <w:sz w:val="16"/>
                <w:szCs w:val="16"/>
              </w:rPr>
              <w:t>30211280</w:t>
            </w:r>
          </w:p>
        </w:tc>
        <w:tc>
          <w:tcPr>
            <w:tcW w:w="1890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518D9">
              <w:rPr>
                <w:rFonts w:ascii="GHEA Grapalat" w:hAnsi="GHEA Grapalat"/>
                <w:sz w:val="16"/>
                <w:szCs w:val="16"/>
              </w:rPr>
              <w:t>համակարգիչ ամբողջը մեկում</w:t>
            </w:r>
          </w:p>
        </w:tc>
        <w:tc>
          <w:tcPr>
            <w:tcW w:w="4251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ամբողջը մեկում (մոնոբլոկ)</w:t>
            </w:r>
          </w:p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տադրման նվազագույն տարեթիվը 2023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կամ ավելի բարձր։</w:t>
            </w:r>
          </w:p>
          <w:p w:rsidR="002359B0" w:rsidRPr="00B2265F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Պրոցեսոր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Արտադրման տարեթիվը՝ ոչ պակաս, քան 2024 թ</w:t>
            </w:r>
            <w:r w:rsidRPr="00B226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Միջուկների քանակը՝ նվազագույնը 8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Թելերի ընդհանուր քանակը՝ նվազագույնը 16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Հիմնական հաճախականությունը՝ նվազագույնը 2.8 ԳՀց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Հիշողություն (RAM)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Տարողությունը՝ նվազագույնը 16 ԳԲ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Տիպը՝ DDR4 կամ DDR5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Պահեստային սարք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SSD՝ նվազագույնը 512 ԳԲ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Էկրան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Չափսը՝ նվազագույնը 23.8"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Լուծաչափը՝ Full HD (1920x1080) կամ ավելի բարձր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Էկրանի տեսակը՝ IPS / LED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Գրաֆիկա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Ներկառուցված գրաֆիկական քարտ (Intel UHD / AMD Radeon Graphics)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Աջակցություն՝ առնվազն 2 մոնիտորին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Ցանցային հնարավորություններ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LAN (RJ-45)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Wi-Fi 5/6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Bluetooth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Մուտքագրման սարքեր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Լարային ստեղնաշար և մուկ (կցված)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Ձայնային համակարգ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Ներկառուցված բարձրախոսներ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Ներկառուցված միկրոֆոն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Վեբ տեսախցիկ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Ներկառուցված, առնվազն 720p լուծաչափով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Միակցիչներ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USB 3.0 – նվազագույնը 2 հատ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USB-C – նվազագույնը 1 հատ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HDMI կամ DisplayPort – նվազագույնը 1 հատ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Ականջակալների ելք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Օպերացիոն համակարգ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Windows 11 Pro (լիցենզիոն)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Երաշխիքային սպասարկում</w:t>
            </w:r>
          </w:p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Առնվազն 2 տարի</w:t>
            </w:r>
          </w:p>
          <w:p w:rsidR="002359B0" w:rsidRPr="00A518D9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Գույնը սև</w:t>
            </w:r>
          </w:p>
        </w:tc>
        <w:tc>
          <w:tcPr>
            <w:tcW w:w="766" w:type="dxa"/>
            <w:vAlign w:val="center"/>
          </w:tcPr>
          <w:p w:rsidR="002359B0" w:rsidRPr="00B73228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322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57" w:type="dxa"/>
            <w:vAlign w:val="center"/>
          </w:tcPr>
          <w:p w:rsidR="002359B0" w:rsidRPr="00A518D9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036" w:type="dxa"/>
            <w:vAlign w:val="center"/>
          </w:tcPr>
          <w:p w:rsidR="002359B0" w:rsidRPr="00A518D9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400000</w:t>
            </w:r>
          </w:p>
        </w:tc>
        <w:tc>
          <w:tcPr>
            <w:tcW w:w="1050" w:type="dxa"/>
            <w:vAlign w:val="center"/>
          </w:tcPr>
          <w:p w:rsidR="002359B0" w:rsidRPr="00A518D9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3324" w:type="dxa"/>
            <w:vAlign w:val="center"/>
          </w:tcPr>
          <w:p w:rsidR="002359B0" w:rsidRPr="00A518D9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8D9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B226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A518D9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E5658A" w:rsidTr="00941B75">
        <w:trPr>
          <w:trHeight w:val="533"/>
        </w:trPr>
        <w:tc>
          <w:tcPr>
            <w:tcW w:w="430" w:type="dxa"/>
            <w:vAlign w:val="center"/>
          </w:tcPr>
          <w:p w:rsidR="002359B0" w:rsidRPr="00B81763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388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4912">
              <w:rPr>
                <w:rFonts w:ascii="GHEA Grapalat" w:hAnsi="GHEA Grapalat"/>
                <w:sz w:val="16"/>
                <w:szCs w:val="16"/>
              </w:rPr>
              <w:t>30237411</w:t>
            </w:r>
          </w:p>
        </w:tc>
        <w:tc>
          <w:tcPr>
            <w:tcW w:w="1890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4912">
              <w:rPr>
                <w:rFonts w:ascii="GHEA Grapalat" w:hAnsi="GHEA Grapalat"/>
                <w:sz w:val="16"/>
                <w:szCs w:val="16"/>
              </w:rPr>
              <w:t>մկնիկ, համակարգչային, լարով</w:t>
            </w:r>
          </w:p>
        </w:tc>
        <w:tc>
          <w:tcPr>
            <w:tcW w:w="4251" w:type="dxa"/>
            <w:vAlign w:val="center"/>
          </w:tcPr>
          <w:p w:rsidR="002359B0" w:rsidRPr="00B2265F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Մկնիկ լարով Genius, Logitech, Dell, HP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Սենսորի տեսակ՝ Օպտիկական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քանակ՝ առնվազն 3 (ձախ, աջ, միջին՝ ոլորման անիվով)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Կատարողականություն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Թույլտվություն (Resolution)՝ 1000 - 1200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Օպերացիոն համակարգեր՝ Windows 7, 8, 8.1, 10 / macOS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տեղեկություններ՝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Դիզայնը  պետք է հարմարեցված լինի  ինչպես ձախ, այնպես էլ աջ ձեռքով օգտագործման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Համատեղելիություն՝ Windows և macOS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համակարգերի հետ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766" w:type="dxa"/>
            <w:vAlign w:val="center"/>
          </w:tcPr>
          <w:p w:rsidR="002359B0" w:rsidRPr="00B73228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322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57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036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050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9000</w:t>
            </w:r>
          </w:p>
        </w:tc>
        <w:tc>
          <w:tcPr>
            <w:tcW w:w="3324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B226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E5658A" w:rsidTr="00941B75">
        <w:trPr>
          <w:trHeight w:val="533"/>
        </w:trPr>
        <w:tc>
          <w:tcPr>
            <w:tcW w:w="430" w:type="dxa"/>
            <w:vAlign w:val="center"/>
          </w:tcPr>
          <w:p w:rsidR="002359B0" w:rsidRPr="00CF6E58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88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4912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890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D9E">
              <w:rPr>
                <w:rFonts w:ascii="GHEA Grapalat" w:hAnsi="GHEA Grapalat"/>
                <w:sz w:val="16"/>
                <w:szCs w:val="16"/>
              </w:rPr>
              <w:t>համակարգչային ստեղնաշարեր</w:t>
            </w:r>
          </w:p>
        </w:tc>
        <w:tc>
          <w:tcPr>
            <w:tcW w:w="4251" w:type="dxa"/>
            <w:vAlign w:val="center"/>
          </w:tcPr>
          <w:p w:rsidR="002359B0" w:rsidRDefault="002359B0" w:rsidP="002359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36" w:hanging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Ստեղնաշար Genius, Logitech,</w:t>
            </w:r>
            <w:r w:rsidRPr="00926D9E">
              <w:rPr>
                <w:rFonts w:ascii="GHEA Grapalat" w:hAnsi="GHEA Grapalat"/>
                <w:sz w:val="16"/>
                <w:szCs w:val="16"/>
                <w:lang w:val="hy-AM"/>
              </w:rPr>
              <w:t xml:space="preserve"> GEMBIRD, DEFENDER,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Dell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տեսակ՝ Չոկոլադե ձևի (low-profile)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Ֆունկցիոնալ կոճակներ՝ առնվազն 12 (8 աուդիո, 4 ինտերնետ) բազմամեդիա FN կոճակներ՝ մեդիա և ինտերնետային կառավարման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8, 8.1, 10, 11 </w:t>
            </w:r>
          </w:p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Գույնը սև</w:t>
            </w:r>
          </w:p>
          <w:p w:rsidR="002359B0" w:rsidRPr="006B2473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766" w:type="dxa"/>
            <w:vAlign w:val="center"/>
          </w:tcPr>
          <w:p w:rsidR="002359B0" w:rsidRPr="00B73228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322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7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036" w:type="dxa"/>
            <w:vAlign w:val="center"/>
          </w:tcPr>
          <w:p w:rsidR="002359B0" w:rsidRPr="00B2265F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50" w:type="dxa"/>
            <w:vAlign w:val="center"/>
          </w:tcPr>
          <w:p w:rsidR="002359B0" w:rsidRPr="00B2265F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3324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B226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E5658A" w:rsidTr="00941B75">
        <w:trPr>
          <w:trHeight w:val="533"/>
        </w:trPr>
        <w:tc>
          <w:tcPr>
            <w:tcW w:w="430" w:type="dxa"/>
            <w:vAlign w:val="center"/>
          </w:tcPr>
          <w:p w:rsidR="002359B0" w:rsidRPr="00CF6E58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388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D9E">
              <w:rPr>
                <w:rFonts w:ascii="GHEA Grapalat" w:hAnsi="GHEA Grapalat"/>
                <w:sz w:val="16"/>
                <w:szCs w:val="16"/>
              </w:rPr>
              <w:t>32421300</w:t>
            </w:r>
          </w:p>
        </w:tc>
        <w:tc>
          <w:tcPr>
            <w:tcW w:w="1890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D9E">
              <w:rPr>
                <w:rFonts w:ascii="GHEA Grapalat" w:hAnsi="GHEA Grapalat"/>
                <w:sz w:val="16"/>
                <w:szCs w:val="16"/>
              </w:rPr>
              <w:t>ցանցային բաժանարար</w:t>
            </w:r>
          </w:p>
        </w:tc>
        <w:tc>
          <w:tcPr>
            <w:tcW w:w="4251" w:type="dxa"/>
          </w:tcPr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Պորտեր՝ առնվազն 8x 10/100/1000 Մբիթ/վրկ RJ45 (Auto-MDI/MDIX աջակցությամբ)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Ստանդարտներ և արձանագրություններ՝ առնվազն IEEE 802.3i/802.3u/802.3ab/802.3x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Արտաքին սնուցում՝ առնվազն 9VDC/0.6Ա (արտաքին ադապտեր)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Էներգասպառում՝ առավելագույնը առնվազն 5 Վտ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Կաղապար՝ պլաստիկ կամ մետաղական (սեղանի կամ պատին ամրացնելու հնարավորությամբ)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Չափեր (Լ × Ե × Բ)՝ առնվազն 160×100×25մմ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Կատարում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Անցումային հզորություն՝ առնվազն 16 Գբ/վ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MAC հասցեների աղյուսակ՝ առնվազն 4K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Jumbo Frame աջակցություն՝ առնվազն 15 Կբ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Լրացուցիչ հնարավորություններ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Կանաչ տեխնոլոգիա՝ էներգիայի ավտոմատ օպտիմալացում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Հոսքի կառավարում՝ առնվազն IEEE 802.3X աջակցություն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Plug &amp; Play՝ պետք է լարը միացնել և օգտագործել, կարգավորումներ չպետք է պահանջի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ջերմաստիճան՝ առնվազն 0°C ~ 40°C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Սերտիֆիկացում՝ առնվազն FCC, CE, RoHS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Փաթեթի պարունակություն՝ առնվազն ցանցային բաժանարար, հոսանքի ադապտեր, արագ տեղադրման ուղեցույց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Երաշխիքային ապահովում և սպասարկում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Երաշխիքային սպասարկում՝ առնվազն 12 ամիս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Պարտադիր պայման՝ Ապրանքը պետք է լինի նոր, չօգտագործված, գործարանային փաթեթավորմամբ</w:t>
            </w:r>
          </w:p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66" w:type="dxa"/>
            <w:vAlign w:val="center"/>
          </w:tcPr>
          <w:p w:rsidR="002359B0" w:rsidRPr="00B2265F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57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036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050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75000</w:t>
            </w:r>
          </w:p>
        </w:tc>
        <w:tc>
          <w:tcPr>
            <w:tcW w:w="3324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3D20B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2265F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E5658A" w:rsidTr="00941B75">
        <w:trPr>
          <w:trHeight w:val="533"/>
        </w:trPr>
        <w:tc>
          <w:tcPr>
            <w:tcW w:w="430" w:type="dxa"/>
            <w:vAlign w:val="center"/>
          </w:tcPr>
          <w:p w:rsidR="002359B0" w:rsidRPr="00CF6E58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388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D9E">
              <w:rPr>
                <w:rFonts w:ascii="GHEA Grapalat" w:hAnsi="GHEA Grapalat"/>
                <w:sz w:val="16"/>
                <w:szCs w:val="16"/>
              </w:rPr>
              <w:t>32421300</w:t>
            </w:r>
          </w:p>
        </w:tc>
        <w:tc>
          <w:tcPr>
            <w:tcW w:w="1890" w:type="dxa"/>
            <w:vAlign w:val="center"/>
          </w:tcPr>
          <w:p w:rsidR="002359B0" w:rsidRPr="00655A8A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D9E">
              <w:rPr>
                <w:rFonts w:ascii="GHEA Grapalat" w:hAnsi="GHEA Grapalat"/>
                <w:sz w:val="16"/>
                <w:szCs w:val="16"/>
              </w:rPr>
              <w:t>ցանցային բաժանարար</w:t>
            </w:r>
          </w:p>
        </w:tc>
        <w:tc>
          <w:tcPr>
            <w:tcW w:w="4251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926D9E">
              <w:rPr>
                <w:rFonts w:ascii="GHEA Grapalat" w:hAnsi="GHEA Grapalat"/>
                <w:sz w:val="16"/>
                <w:szCs w:val="16"/>
                <w:lang w:val="hy-AM"/>
              </w:rPr>
              <w:t xml:space="preserve"> Wi-Fi Router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Սարքավորում,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IEEE 802.11a/b/g/n/ac (Wi-Fi 5)՝ իդեալում 802.11ax (Wi-Fi 6) աջակցությամբ՝ հնարավորության սահմաններում։ Wi-Fi 6 առավելություններ՝ OFDMA, MU-MIMO, ավելի արդյունավետ միացման կառավարման համար։ </w:t>
            </w:r>
            <w:hyperlink r:id="rId5" w:tgtFrame="_blank" w:history="1">
              <w:r w:rsidRPr="003D20B0">
                <w:rPr>
                  <w:rFonts w:ascii="GHEA Grapalat" w:hAnsi="GHEA Grapalat"/>
                  <w:sz w:val="16"/>
                  <w:szCs w:val="16"/>
                  <w:lang w:val="hy-AM"/>
                </w:rPr>
                <w:t>TP-Link+1</w:t>
              </w:r>
            </w:hyperlink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 Dual-band՝ 2.4 GHz + 5 GHz, նույնասեռ սինխրոն աշխատանք (simultaneous).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մինչև AC1200 (300 Mbps @2.4 GHz + 867 Mbps @5 GHz) կամ համարժեք AX1500/AX1800 (Wi-Fi 6) դասի վարքային արագություններ՝ կախված մոդելից։ </w:t>
            </w:r>
            <w:hyperlink r:id="rId6" w:tgtFrame="_blank" w:history="1">
              <w:r w:rsidRPr="003D20B0">
                <w:rPr>
                  <w:rFonts w:ascii="GHEA Grapalat" w:hAnsi="GHEA Grapalat"/>
                  <w:sz w:val="16"/>
                  <w:szCs w:val="16"/>
                  <w:lang w:val="hy-AM"/>
                </w:rPr>
                <w:t>ams.am+1</w:t>
              </w:r>
            </w:hyperlink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t>WAN / LAN պորտեր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։ 1 × Gigabit WAN, առնվազն 4 × Gigabit LAN պորտ (RJ-45) (Auto-MDI/MDIX աջակցությամբ)։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t>USB պորտ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։ Առկաության դեպքում՝ USB 2.0 կամ USB 3.0 (կամ ոչ պարտադիր)՝ ֆայլերի/մուլտիմեդիա/ՄՊՆ կիսածության համար։</w:t>
            </w:r>
          </w:p>
          <w:p w:rsidR="002359B0" w:rsidRPr="003D20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t>Սնուցում և էներգա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։ Առաքվող ադապտեր՝ 12V DC տիպիկ կամ արտադրողի բնութագրությամբ; էներգախնայողության առկայություն.</w:t>
            </w:r>
          </w:p>
          <w:p w:rsidR="002359B0" w:rsidRPr="00471CAA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t>Wired security / VPN։ IP filtering, SPI firewall, NAT, (եթե հնարավոր՝ VPN passthrough կամ Լուծումներ)։</w:t>
            </w:r>
          </w:p>
          <w:p w:rsidR="002359B0" w:rsidRPr="00471CAA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WPA2/WPA3 աջակցություն (WPA3 ցանկալի), ելքային ֆիլտրեր, հյուրերի Wi-Fi (guest network) առանց համօգտագործման տեղական ռեսուրսների։ </w:t>
            </w:r>
            <w:hyperlink r:id="rId7" w:tgtFrame="_blank" w:history="1">
              <w:r w:rsidRPr="00471CAA">
                <w:rPr>
                  <w:rFonts w:ascii="GHEA Grapalat" w:hAnsi="GHEA Grapalat"/>
                  <w:sz w:val="16"/>
                  <w:szCs w:val="16"/>
                  <w:lang w:val="hy-AM"/>
                </w:rPr>
                <w:t>TP-Link</w:t>
              </w:r>
            </w:hyperlink>
          </w:p>
          <w:p w:rsidR="002359B0" w:rsidRPr="00471CAA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Առնվազն 12 ամիս (արտադրողի կամ տեղական պաշտոնական աջակցության երաշխիք)։</w:t>
            </w:r>
            <w:r w:rsidRPr="00471CAA">
              <w:rPr>
                <w:rFonts w:ascii="GHEA Grapalat" w:hAnsi="GHEA Grapalat"/>
                <w:sz w:val="16"/>
                <w:szCs w:val="16"/>
                <w:lang w:val="hy-AM"/>
              </w:rPr>
              <w:t xml:space="preserve"> TP-Link, D-Link, Xiaomi, Tenda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մակնիշի։</w:t>
            </w:r>
          </w:p>
        </w:tc>
        <w:tc>
          <w:tcPr>
            <w:tcW w:w="766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57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036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050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60000</w:t>
            </w:r>
          </w:p>
        </w:tc>
        <w:tc>
          <w:tcPr>
            <w:tcW w:w="3324" w:type="dxa"/>
            <w:vAlign w:val="center"/>
          </w:tcPr>
          <w:p w:rsidR="002359B0" w:rsidRPr="00926D9E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3D20B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034368" w:rsidTr="00941B75">
        <w:trPr>
          <w:trHeight w:val="533"/>
        </w:trPr>
        <w:tc>
          <w:tcPr>
            <w:tcW w:w="430" w:type="dxa"/>
            <w:vAlign w:val="center"/>
          </w:tcPr>
          <w:p w:rsidR="002359B0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388" w:type="dxa"/>
            <w:vAlign w:val="center"/>
          </w:tcPr>
          <w:p w:rsidR="002359B0" w:rsidRPr="00926D9E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30239130</w:t>
            </w:r>
          </w:p>
        </w:tc>
        <w:tc>
          <w:tcPr>
            <w:tcW w:w="1890" w:type="dxa"/>
            <w:vAlign w:val="center"/>
          </w:tcPr>
          <w:p w:rsidR="002359B0" w:rsidRPr="00926D9E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Տպիչ սարք, բազմաֆունկցիոնալ, a4, 28 էջ/րոպե արագության</w:t>
            </w:r>
          </w:p>
        </w:tc>
        <w:tc>
          <w:tcPr>
            <w:tcW w:w="4251" w:type="dxa"/>
            <w:vAlign w:val="center"/>
          </w:tcPr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Բ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ազմաֆունկցիոնալ տպիչ (տպագրում, սկանավորում, պատճենում)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Թղթի չափը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A4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Տպագրության արագություն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28 էջ/րոպե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պագրության տեխնոլոգիա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ն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լազերային կամ համարժեք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,տպագրության որան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1200 x 1200 dpi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,ս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կանավորման որակ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600 x 600 dpi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Մուտքային թղթի տարողություն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250 թերթ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լքային թղթի տարողություն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100 թերթ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 Ցանցային միացում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USB 2.0, Ethernet, Wi-Fi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,օ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>պերացիոն համակարգերի համատեղելիություն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Windows, macOS, Linux</w:t>
            </w:r>
          </w:p>
          <w:p w:rsidR="002359B0" w:rsidRPr="00A215E7" w:rsidRDefault="002359B0" w:rsidP="00941B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 Էներգախնայողություն</w:t>
            </w:r>
            <w:r w:rsidRPr="00A215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15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համապատասխան ENERGY STAR կամ համարժեք ստանդարտներին</w:t>
            </w:r>
          </w:p>
          <w:p w:rsidR="002359B0" w:rsidRPr="00A215E7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6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7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03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190000</w:t>
            </w:r>
          </w:p>
        </w:tc>
        <w:tc>
          <w:tcPr>
            <w:tcW w:w="1050" w:type="dxa"/>
            <w:vAlign w:val="center"/>
          </w:tcPr>
          <w:p w:rsidR="002359B0" w:rsidRPr="006C3FB4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570000</w:t>
            </w:r>
          </w:p>
        </w:tc>
        <w:tc>
          <w:tcPr>
            <w:tcW w:w="3324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3D20B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034368" w:rsidTr="00941B75">
        <w:trPr>
          <w:trHeight w:val="533"/>
        </w:trPr>
        <w:tc>
          <w:tcPr>
            <w:tcW w:w="430" w:type="dxa"/>
            <w:vAlign w:val="center"/>
          </w:tcPr>
          <w:p w:rsidR="002359B0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388" w:type="dxa"/>
            <w:vAlign w:val="center"/>
          </w:tcPr>
          <w:p w:rsidR="002359B0" w:rsidRPr="00034368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44322100</w:t>
            </w:r>
          </w:p>
        </w:tc>
        <w:tc>
          <w:tcPr>
            <w:tcW w:w="1890" w:type="dxa"/>
            <w:vAlign w:val="center"/>
          </w:tcPr>
          <w:p w:rsidR="002359B0" w:rsidRPr="00034368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Մալուխ համակարգչի, utp cable 6 level</w:t>
            </w:r>
          </w:p>
        </w:tc>
        <w:tc>
          <w:tcPr>
            <w:tcW w:w="4251" w:type="dxa"/>
          </w:tcPr>
          <w:p w:rsidR="002359B0" w:rsidRPr="00056F13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 UTP cat6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Տեսակը՝ UTP Cat6 առնվնազ 23/24AWG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Սիմետրիկ կապի մալուխները նախատեսված են առնվազն ISO/IEC 11801 միջազգային ստանդարտի համաձայն կառուցվածքային մալուխային համակարգերում և մինչև 250 ՄՀց հաճախականության տիրույթում լայնաշերտ մուտքի ցանցերում 75 Վ-ից ոչ ավելի աշխատանքային լարման դեպքում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Միջուկի տրամագիծը առնվազն 0,54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քանակը՝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Նախագծում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0,54 մմ տրամագծով պղնձե հաղորդիչ (24 AWG)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Պոլիէթիլենային մեկուսացում յուրաքանչյուր մեկուսացված միջուկի անհատական գունային մակնշմամբ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նյութը՝ առնվազն պոլիմերային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Մեխանիկական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Առաձգական առավելագույն ուժ առնվազն 50 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Պատյանների կոտրման ուժը առնվազն 9 ՄՊա-ից ոչ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Անվանական արտաքին տրամագիծը առնվազն 6.0մմ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Գործող հաճախականության տիրույթ առնվազն 250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Ալիքի դիմադրություն հաճախականության տիրույթում առնվազն (1-250) ՄՀց, Օհմ 100±15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թուլացում, ոչ ավելի քան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3,8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8,5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19,9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33,0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Անցումային թուլացում շղթաների միջև մոտակա վերջում (NEXT)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66.3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55.8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45.3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39.3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Շղթայի անձեռնմխելիությունը հեռավոր ծայրում (EL FEXT)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56.0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42.0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20.0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Վերադարձի կորուստ (RL)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4 ՄՀց հաճախականությամբ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23.0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25.0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20.1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18.0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էլեկտրական հզորությունը, ոչ ավելի, քան առնվազն nF/կմ 56</w:t>
            </w:r>
          </w:p>
        </w:tc>
        <w:tc>
          <w:tcPr>
            <w:tcW w:w="76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մետր</w:t>
            </w:r>
          </w:p>
        </w:tc>
        <w:tc>
          <w:tcPr>
            <w:tcW w:w="857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3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</w:t>
            </w:r>
          </w:p>
        </w:tc>
        <w:tc>
          <w:tcPr>
            <w:tcW w:w="1050" w:type="dxa"/>
            <w:vAlign w:val="center"/>
          </w:tcPr>
          <w:p w:rsidR="002359B0" w:rsidRPr="006C3FB4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3324" w:type="dxa"/>
            <w:vAlign w:val="center"/>
          </w:tcPr>
          <w:p w:rsidR="002359B0" w:rsidRPr="00182FEB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3D20B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</w:p>
        </w:tc>
      </w:tr>
      <w:tr w:rsidR="002359B0" w:rsidRPr="00034368" w:rsidTr="00941B75">
        <w:trPr>
          <w:trHeight w:val="533"/>
        </w:trPr>
        <w:tc>
          <w:tcPr>
            <w:tcW w:w="430" w:type="dxa"/>
            <w:vAlign w:val="center"/>
          </w:tcPr>
          <w:p w:rsidR="002359B0" w:rsidRDefault="002359B0" w:rsidP="00941B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388" w:type="dxa"/>
            <w:vAlign w:val="center"/>
          </w:tcPr>
          <w:p w:rsidR="002359B0" w:rsidRPr="00034368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30237113</w:t>
            </w:r>
          </w:p>
        </w:tc>
        <w:tc>
          <w:tcPr>
            <w:tcW w:w="1890" w:type="dxa"/>
            <w:vAlign w:val="center"/>
          </w:tcPr>
          <w:p w:rsidR="002359B0" w:rsidRPr="00034368" w:rsidRDefault="002359B0" w:rsidP="00941B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4368">
              <w:rPr>
                <w:rFonts w:ascii="GHEA Grapalat" w:hAnsi="GHEA Grapalat"/>
                <w:sz w:val="16"/>
                <w:szCs w:val="16"/>
              </w:rPr>
              <w:t>Կոնեկտոր (կցորդներ)</w:t>
            </w:r>
          </w:p>
        </w:tc>
        <w:tc>
          <w:tcPr>
            <w:tcW w:w="4251" w:type="dxa"/>
            <w:vAlign w:val="center"/>
          </w:tcPr>
          <w:p w:rsidR="002359B0" w:rsidRPr="00056F13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RJ45 ցանցային մալուխի միակցիչ (connector) Cablexpert, Hikvision, ITK, Hyperline կամ համարժեք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Տեխնիկական բնութագրեր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Նյութ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 տեսակ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Պոլիկարբոնատ կամ ABS պլաստիկ թափանցիկ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Կոնտակտներ  ոսկեզօծ մետաղ, որը նախատեսված է  կոռոզիայից և Էլեկտրական հաղորդունակությունից պաշտպանվելու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է առնվազն 22-ից 26 AWG տրամագծով բազմաշերտ կամ պինդ ցանցային մալուխների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պետք է լինի առնվազն 10 Գբիթ/վ արագությամբ Ethernet ազդանշաններ փոխանցելու համար (համատեղելի պետք է լինի առնվազն CAT6 մալուխների հետ)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Աշխատանքային ջերմաստիճան առնվազն -10-ից +60 °C</w:t>
            </w:r>
          </w:p>
        </w:tc>
        <w:tc>
          <w:tcPr>
            <w:tcW w:w="76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7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1036" w:type="dxa"/>
            <w:vAlign w:val="center"/>
          </w:tcPr>
          <w:p w:rsidR="002359B0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050" w:type="dxa"/>
            <w:vAlign w:val="center"/>
          </w:tcPr>
          <w:p w:rsidR="002359B0" w:rsidRPr="006C3FB4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3324" w:type="dxa"/>
            <w:vAlign w:val="center"/>
          </w:tcPr>
          <w:p w:rsidR="002359B0" w:rsidRPr="00FC4912" w:rsidRDefault="002359B0" w:rsidP="00941B75">
            <w:pPr>
              <w:pStyle w:val="a3"/>
              <w:spacing w:after="0" w:line="240" w:lineRule="auto"/>
              <w:ind w:left="136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 ք</w:t>
            </w:r>
            <w:r w:rsidRPr="003D20B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D20B0">
              <w:rPr>
                <w:rFonts w:ascii="GHEA Grapalat" w:hAnsi="GHEA Grapalat"/>
                <w:sz w:val="16"/>
                <w:szCs w:val="16"/>
                <w:lang w:val="hy-AM"/>
              </w:rPr>
              <w:t>Վանաձոր</w:t>
            </w:r>
            <w:r w:rsidRPr="00FC4912">
              <w:rPr>
                <w:rFonts w:ascii="GHEA Grapalat" w:hAnsi="GHEA Grapalat"/>
                <w:sz w:val="16"/>
                <w:szCs w:val="16"/>
                <w:lang w:val="hy-AM"/>
              </w:rPr>
              <w:t>, Շինարարների 12 հասցեով</w:t>
            </w:r>
            <w:bookmarkStart w:id="0" w:name="_GoBack"/>
            <w:bookmarkEnd w:id="0"/>
          </w:p>
        </w:tc>
      </w:tr>
      <w:tr w:rsidR="002359B0" w:rsidRPr="00E5658A" w:rsidTr="00941B75">
        <w:trPr>
          <w:trHeight w:val="533"/>
        </w:trPr>
        <w:tc>
          <w:tcPr>
            <w:tcW w:w="14992" w:type="dxa"/>
            <w:gridSpan w:val="9"/>
            <w:vAlign w:val="center"/>
          </w:tcPr>
          <w:p w:rsidR="002359B0" w:rsidRPr="00A220F7" w:rsidRDefault="002359B0" w:rsidP="002359B0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220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Ապրանքները պետք է լինեն չօգտագործված, Ապրանքների տեղափոխումը, բեռնաթափումը և տեղադրումը պետք է իրականացնի Մատակարարարը</w:t>
            </w:r>
          </w:p>
          <w:p w:rsidR="002359B0" w:rsidRPr="00F51273" w:rsidRDefault="002359B0" w:rsidP="002359B0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5127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Մասնակցի կողմից պետք է ներկայացվի առաջարկվող ապրանքի ֆիրմային անվանումը և արտադրողի վերաբերյալ տեղեկատվություն</w:t>
            </w:r>
          </w:p>
          <w:p w:rsidR="002359B0" w:rsidRPr="00F51273" w:rsidRDefault="002359B0" w:rsidP="002359B0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5127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Ապրանքատեսակների տեխնիկական պարամետրերի բարելավված տարբերակներն ընդունելի են</w:t>
            </w:r>
          </w:p>
        </w:tc>
      </w:tr>
    </w:tbl>
    <w:p w:rsidR="002359B0" w:rsidRPr="002359B0" w:rsidRDefault="002359B0">
      <w:pPr>
        <w:rPr>
          <w:lang w:val="hy-AM"/>
        </w:rPr>
      </w:pPr>
    </w:p>
    <w:sectPr w:rsidR="002359B0" w:rsidRPr="002359B0" w:rsidSect="002359B0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93F"/>
    <w:multiLevelType w:val="hybridMultilevel"/>
    <w:tmpl w:val="9AF0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D58EF"/>
    <w:multiLevelType w:val="hybridMultilevel"/>
    <w:tmpl w:val="49B2B6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B0"/>
    <w:rsid w:val="0023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6699"/>
  <w15:chartTrackingRefBased/>
  <w15:docId w15:val="{6593DD8F-52C4-4B06-A6A7-FA87FCB3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B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p-link.com/us/home-networking/wifi-router/archer-ax3000/?utm_source=chatgp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ms.am/en/network-device-hy/tp-link/wifi-routers/?utm_source=chatgpt.com" TargetMode="External"/><Relationship Id="rId5" Type="http://schemas.openxmlformats.org/officeDocument/2006/relationships/hyperlink" Target="https://www.tp-link.com/us/home-networking/wifi-router/archer-ax3000/?utm_source=chatgp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NPUA</dc:creator>
  <cp:keywords/>
  <dc:description/>
  <cp:lastModifiedBy>NPUA</cp:lastModifiedBy>
  <cp:revision>1</cp:revision>
  <dcterms:created xsi:type="dcterms:W3CDTF">2026-06-08T09:21:00Z</dcterms:created>
  <dcterms:modified xsi:type="dcterms:W3CDTF">2026-06-08T09:24:00Z</dcterms:modified>
</cp:coreProperties>
</file>