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վառելիքի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եթանոլ-3%, էթանոլ-5 %, իզոպրոպիլ սպիրտ-10%, իզոբուտիլ սպիրտ-10%,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Պատվիրատուների կողմից ներկայացված քանակներն առավելագույնն է և այն կարող է նվազեցվել վերջիններիս կողմից: Վճարումը կատարվում է փաստացի մատակարարված
ապրանքի մասով: Մատակարարումը համայնքի կողմից մշակված կտրոնային սիստեմով։ Կտրոնները պետք է գործածական լինեն 2026-2027թթ.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տրանսպորտային միջոցների ներքին այրման շարժիչներում որպես վառելիք օգտագործելու համար: Գլամոթի լիցքավորման ընթացքում բնական գազի ավելցուկ ճնշումը պետք է համապատասխանի ԱԳԼՃԿ-ի և լիցքավորվող գազագլանոթային միջոցների տեխնիկական պայմաններին և
չպետք է գերազանցի 1,2 ՄՊա ճնշման սահմանը, գլանոթ լիցքավորվող գազի ջերմաստիճանից ոչ ավել քան 15°C: Պայմանական նշանները՝ «Վախենում է կրակից»: Անվտանգությունը՝ հրավտանգ, պայթունավտանգ։ Գազի լիցքավորումը՝ Աբովյան համայնքի վարչական տարածքում գտնվող գազալցակայանների միջոցով։ Մատակարարման պայմաններ՝ մատակարարումը կտրոններով։ Կտրոնները պետք է գործածական լինեն 2026-2027թթ.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տվյալ տարվա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տվյալ տարվա հոկտեմբերի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