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ABH-EAAPDzB-26/99</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прозрачный. Октановое число, определённое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Объёмная доля бензола — не более 1%. Плотность при температуре 15°C — от 720 до 775 кг/м³. Содержание серы — не более 10 мг/кг. Массовая доля кислорода — не более 2,7%.
Объёмная доля оксигенатов, не более: этанол — 3%, метанол — 5%, изопропиловый спирт — 10%, изобутиловый спирт — 10%, трет-бутиловый спирт — 7%, эфиры (C5 и выше) — 15%, прочие оксигенаты — 10%.
Безопасность, маркировка и упаковка — в соответствии с техническим регламентом «Топлива для двигателей внутреннего сгорания», утверждённым постановлением Правительства Республики Армения от 11 ноября 2004 года № 1592-Н.
Поставка осуществляется по талонам. Количества, представленные заказчиками, являются максимальными и могут быть уменьшены с их стороны. Оплата производится за фактически поставленный товар. Поставка осуществляется по талонной системе, разработанной общиной. Талоны должны быть действительны в течение 2026–2027 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предназначенный для использования в качестве топлива в двигателях внутреннего сгорания транспортных средств.
Избыточное давление природного газа при заправке газовых баллонов должно соответствовать техническим требованиям автомобильных газонаполнительных компрессорных станций (АГНКС) и заправляемых газобаллонных транспортных средств и не должно превышать предел давления 1,2 МПа, при температуре заправляемого газа не более 15°C.
Условное обозначение: «Боится огня».
Опасность: пожароопасно, взрывоопасно.
Заправка газа осуществляется через газозаправочные станции, расположенные на административной территории общины Абовян.
Условия поставки: поставка осуществляется по талонам. Талоны должны быть действительны в течение 2026–2027 гг.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начиная с даты вступления договора в силу и до 31 октября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начиная с даты вступления договора в силу и до 31 октября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