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оборудование (для 12 школ) для нужд Министерства образования, науки, культуры и спорта Республики Армения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Շաբոյան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satenik.shaboyan@escs.am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ՀՀԿԳՄՍՆԷԱՃԱՊՁԲ-26/105</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оборудование (для 12 школ) для нужд Министерства образования, науки, культуры и спорта Республики Армения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оборудование (для 12 школ) для нужд Министерства образования, науки, культуры и спорта Республики Армения в 2026 году.</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satenik.shaboyan@escs.am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оборудование (для 12 школ) для нужд Министерства образования, науки, культуры и спорта Республики Армения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368.45</w:t>
      </w:r>
      <w:r>
        <w:rPr>
          <w:rFonts w:ascii="Calibri" w:hAnsi="Calibri" w:cstheme="minorHAnsi"/>
          <w:szCs w:val="22"/>
        </w:rPr>
        <w:t xml:space="preserve"> драмом, российский рубль </w:t>
      </w:r>
      <w:r>
        <w:rPr>
          <w:rFonts w:ascii="Calibri" w:hAnsi="Calibri" w:cstheme="minorHAnsi"/>
          <w:lang w:val="af-ZA"/>
        </w:rPr>
        <w:t>5.1181</w:t>
      </w:r>
      <w:r>
        <w:rPr>
          <w:rFonts w:ascii="Calibri" w:hAnsi="Calibri" w:cstheme="minorHAnsi"/>
          <w:szCs w:val="22"/>
        </w:rPr>
        <w:t xml:space="preserve"> драмом, евро </w:t>
      </w:r>
      <w:r>
        <w:rPr>
          <w:rFonts w:ascii="Calibri" w:hAnsi="Calibri" w:cstheme="minorHAnsi"/>
          <w:lang w:val="af-ZA"/>
        </w:rPr>
        <w:t>426.15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переменное Входное напряжение 145~295 Вольт, однофазный, автоматическая регулировка напряжения (AVR), частота 50-60 Гц ± 5%, переменное выходное напряжение 220 В ± 10%, Мощность не менее 800 ва (480 Вт), время переключения ≤ 8 миллисекунд, 2 шт. Schuko или 2 универсальные выходные розетки, емкость перезарядки 90% в течение максимум 8 часов, допустимая рабочая температура 0~40 ° C, шнур питания, шнур питания в комплекте, соответствует стандартам РА.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лазер типа МФУ. устройство имеет копировальный аппарат, сканер, принтер, максимальный размер формата A4, включительно, черно-белый, технологию лазерной печати, максимальное разрешение для черно-белой печати 600x600 точек на дюйм, скорость печати не менее 38 страниц в минуту (A4). количество страниц в месяц: не менее 80 000 (A4), время Первой черно-белой печати: не более 6,3 с. имеет возможность автоматической дуплексной печати. разрешение не менее 600x600 точек на дюйм, скорость сканирования не менее 29 страниц/изображений в минуту (формат A4): Автоматическая подача дуплексной бумаги: не менее 50 листов. максимальное разрешение копирования: 600x600 точек на дюйм включительно. скорость копирования: не менее 38 страниц в минуту (формата А4), размер изображения с увеличением 25-400% включительно. предполагаемый вес бумаги 60-175 г/м2 включительно. объем памяти не менее 512 МБ, Частота процессора не менее 1200 МГц. интерфейсы USB 2.0, Ethernet (RJ-45), Wi-Fi, поддержка PCL 5, PCL 6, PDF. возможность работы с приложениями для ОС Windows, iOS, Android. информационный дисплей: минимум ЖК-дисплей. комплектация и упаковка заводские. картридж должен быть без кода пополнения, или открытие кода осуществляется за счет продавца.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DLP, возможность 3D: да, формат՝ 16:9, 16:10, 4:3 возможности, разрешение не менее WXGA (1280 x 800),максимальное разрешение не менее 1920x1080 пикселей включительно, количество цветов до 1,06 миллиарда включительно, яркость не менее 4000 Лм, контрастность не менее 20000:1, уровень шума не более 32 дБ, настройки изображения: увеличение не менее 1,1 x, настройка проекции в форме стола по вертикали ±40° включительно, расчетное максимальное расстояние от экрана: 8 м включительно, минимальное расстояние от экрана: 1 м включительно, Предполагаемая максимальная диагональ экрана: не менее 700 см, срок службы лампы: не менее 6000 ч в стандартном режиме, интерфейс: вход HDMI, вход RS 232, аудиовыход/вход 3,5 мм, USB, VGA, источник питания потребляемая мощность: не более 320 Вт. Прилагаемые аксессуары-потолочная вешалка для проектора, одна шт. В комплекте с устройством, пульт дистанционного управления с ИК-батареями, встроенный динамик мощностью не менее 5 Вт, кабель HDMI не менее 5 м, шнур питания в соответствии со стандартами РА, Источник питания 220-240 В/ 50-60 Гц (шнур питания со штекером schuko).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максимальная мощность пылесоса 2300 Вт, мощность всасывания: минимум 430 Вт, тип трубки: телескопическая, тип и объем пылесборника: контейнер, минимум 2 л, уровень шума: максимум 80 дБ, длина сетевого шнура: минимум 7 м, максимальный вес изделия: 6,5 кг. Насадка для пола и ковров, насадка для мягкой мебели, угловая (щелевая) насадка.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