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ՀՀՊԾ-ԷԱՃԱՊՁԲ-26/12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Пробации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Аршакуняц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ՀՀՊԾ-ԷԱՃԱՊՁԲ-26/12 для нужд Службы Пробации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Ասիրյան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a.asiryan@promotion.am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Пробации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ՀՀՊԾ-ԷԱՃԱՊՁԲ-26/12</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Пробации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Пробации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ՀՀՊԾ-ԷԱՃԱՊՁԲ-26/12 для нужд Службы Пробации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ՀՀՊԾ-ԷԱՃԱՊՁԲ-26/12 для нужд Службы Пробации</w:t>
      </w:r>
      <w:r>
        <w:rPr>
          <w:rFonts w:ascii="Calibri" w:hAnsi="Calibri" w:cstheme="minorHAnsi"/>
          <w:b/>
          <w:lang w:val="ru-RU"/>
        </w:rPr>
        <w:t xml:space="preserve">ДЛЯ НУЖД  </w:t>
      </w:r>
      <w:r>
        <w:rPr>
          <w:rFonts w:ascii="Calibri" w:hAnsi="Calibri" w:cstheme="minorHAnsi"/>
          <w:b/>
          <w:sz w:val="24"/>
          <w:szCs w:val="24"/>
          <w:lang w:val="af-ZA"/>
        </w:rPr>
        <w:t>Служба Пробации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ՀՀՊԾ-ԷԱՃԱՊՁԲ-26/12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a.asiryan@promotion.am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ՀՀՊԾ-ԷԱՃԱՊՁԲ-26/12 для нужд Службы Пробации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368.44</w:t>
      </w:r>
      <w:r>
        <w:rPr>
          <w:rFonts w:ascii="Calibri" w:hAnsi="Calibri" w:cstheme="minorHAnsi"/>
          <w:szCs w:val="22"/>
        </w:rPr>
        <w:t xml:space="preserve"> драмом, российский рубль </w:t>
      </w:r>
      <w:r>
        <w:rPr>
          <w:rFonts w:ascii="Calibri" w:hAnsi="Calibri" w:cstheme="minorHAnsi"/>
          <w:lang w:val="af-ZA"/>
        </w:rPr>
        <w:t>5.1179</w:t>
      </w:r>
      <w:r>
        <w:rPr>
          <w:rFonts w:ascii="Calibri" w:hAnsi="Calibri" w:cstheme="minorHAnsi"/>
          <w:szCs w:val="22"/>
        </w:rPr>
        <w:t xml:space="preserve"> драмом, евро </w:t>
      </w:r>
      <w:r>
        <w:rPr>
          <w:rFonts w:ascii="Calibri" w:hAnsi="Calibri" w:cstheme="minorHAnsi"/>
          <w:lang w:val="af-ZA"/>
        </w:rPr>
        <w:t>425.59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Пробации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"ՀՀՊԾ-ԷԱՃԱՊՁԲ-26/12"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Пробации*(далее — Заказчик) процедуре закупок под кодом ՀՀՊԾ-ԷԱՃԱՊՁԲ-26/12*.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"ՀՀՊԾ-ԷԱՃԱՊՁԲ-26/12"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Пробации*(далее — Заказчик) процедуре закупок под кодом ՀՀՊԾ-ԷԱՃԱՊՁԲ-26/12*.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ՀՀՊԾ-ԷԱՃԱՊՁԲ-26/12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13-го поколения, сокет 1744, количество ядер не менее 8, количество потоков не менее 16, частота не менее 2,5 ГГц, в режиме Turbo не менее 4,6 ГГц, кэш: 12 МБ/с. Графика для 13-го поколения: охлаждение сокет 1744, сенсорная поверхность: медь. Оперативная память: не менее 8 ГБ, 3200 МГц, SSD-накопитель не менее 512 ГБ, тип M.2 PCI-e NVMe 1.3, скорость чтения не менее 1500 МБ/с, скорость записи не менее 800 МБ/с, GBT. LAN, Wi-Fi® 5, 802.11ac 2x2 Wi-Fi® + Bluetooth® 5.1, карта M.2 2xDDR4 3200 МГц до 64 Гб, (2)xUSB3.2, (2)xUSB2.0, HDMI, блок питания 100-240 В․ 2xUSB 3.0, 2xUSB 2.0, встроенные динамики 3Vx2. Размер экрана (монитора) 23,8 дюйма, разрешение 1920 x 1080, IPS-матрица, частота обновления не менее 75 Гц, яркость в обычном режиме 250 кд/м², время отклика 5 мс, контрастность (типичная) 1000:1, цветовой охват NTSC 72%, 6Bit+HiFRC, доступны технологии Flicker-less / BlueLightShield / AMD FreeSync. Выходы: 1 HDMI. Угол обзора 89°, клавиатура, мышь. Изделие должно быть новым, неиспользованным, цвет: черный или белый, гарантийный срок не менее 1 года, при доставке товара необходимо предоставить гарантийный талон от производителя. Поставщик осуществляет транспортировку, разгрузку, установку и настройку товара за свой счет (в течение 5 дней после получения запроса от Заказчика). Дата производства: не позднее 2025 года.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Лазерная печать, техникаат А4, двусторонняя печать, копирование - 30 стр./мин (черно-белое А4), печать на пленке, конверты DL (220x110 мм), конверты, этикетки, открытки, обычная бумага. Товар должен быть новым, неиспользованным, цветной: черный или белый, гарантийный срок не менее 1 года, гарантийный купон от производителя должен быть предоставлен при доставке товара. Транспортировка, разгрузка, установка и настройка продукции осуществляются поставщиком за свой счет (в течение 5 дней после получения соответствующего запроса от Заказчика). Дата производства: не позднее 2025 года.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