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ԼՄՓՀ-ԷԱՃԱՊՁԲ-26/11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ԼՈՌՈՒ ՄԱՐԶԻ ՓԱՄԲԱԿԻ ՀԱՄԱՅՆՔԱՊԵՏԱՐԱՆ</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ՀՀ Լոռու մարզ, գ.Փամբակ 1 փող.23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Поставка навесного оборудования для сельскохозяйственной техники, включающего разбрасыватель навоза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Ավագ խառատյան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pambakgnumner@mail.ru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(номер телефона клиента)</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ԼՈՌՈՒ ՄԱՐԶԻ ՓԱՄԲԱԿԻ ՀԱՄԱՅՆՔԱՊԵՏԱՐԱՆ</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ԼՄՓՀ-ԷԱՃԱՊՁԲ-26/11</w:t>
      </w:r>
      <w:r>
        <w:rPr>
          <w:rFonts w:ascii="Calibri" w:hAnsi="Calibri" w:cstheme="minorHAnsi"/>
          <w:i/>
        </w:rPr>
        <w:br/>
      </w:r>
      <w:r>
        <w:rPr>
          <w:rFonts w:ascii="Calibri" w:hAnsi="Calibri" w:cstheme="minorHAnsi"/>
          <w:szCs w:val="20"/>
          <w:lang w:val="af-ZA"/>
        </w:rPr>
        <w:t>2026.06.10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ԼՈՌՈՒ ՄԱՐԶԻ ՓԱՄԲԱԿԻ ՀԱՄԱՅՆՔԱՊԵՏԱՐԱՆ</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ԼՈՌՈՒ ՄԱՐԶԻ ՓԱՄԲԱԿԻ ՀԱՄԱՅՆՔԱՊԵՏԱՐԱՆ</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Поставка навесного оборудования для сельскохозяйственной техники, включающего разбрасыватель навоза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Поставка навесного оборудования для сельскохозяйственной техники, включающего разбрасыватель навоза</w:t>
      </w:r>
      <w:r>
        <w:rPr>
          <w:rFonts w:ascii="Calibri" w:hAnsi="Calibri" w:cstheme="minorHAnsi"/>
          <w:b/>
          <w:lang w:val="ru-RU"/>
        </w:rPr>
        <w:t xml:space="preserve">ДЛЯ НУЖД  </w:t>
      </w:r>
      <w:r>
        <w:rPr>
          <w:rFonts w:ascii="Calibri" w:hAnsi="Calibri" w:cstheme="minorHAnsi"/>
          <w:b/>
          <w:sz w:val="24"/>
          <w:szCs w:val="24"/>
          <w:lang w:val="af-ZA"/>
        </w:rPr>
        <w:t>ՀՀ ԼՈՌՈՒ ՄԱՐԶԻ ՓԱՄԲԱԿԻ ՀԱՄԱՅՆՔԱՊԵՏԱՐԱՆ</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ԼՄՓՀ-ԷԱՃԱՊՁԲ-26/11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pambakgnumner@mail.ru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Поставка навесного оборудования для сельскохозяйственной техники, включающего разбрасыватель навоза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գոմաղբ ցրող մեքենաներ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430</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2026.06.24.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ԼՈՌՈՒ ՄԱՐԶԻ ՓԱՄԲԱԿԻ ՀԱՄԱՅՆՔԱՊԵՏԱՐԱՆ</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"ԼՄՓՀ-ԷԱՃԱՊՁԲ-26/11"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ԼՈՌՈՒ ՄԱՐԶԻ ՓԱՄԲԱԿԻ ՀԱՄԱՅՆՔԱՊԵՏԱՐԱՆ*(далее — Заказчик) процедуре закупок под кодом ԼՄՓՀ-ԷԱՃԱՊՁԲ-26/11*.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ՄԱՐԶԻ ՓԱՄԲԱԿԻ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- 900234000074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"ԼՄՓՀ-ԷԱՃԱՊՁԲ-26/11"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ԼՈՌՈՒ ՄԱՐԶԻ ՓԱՄԲԱԿԻ ՀԱՄԱՅՆՔԱՊԵՏԱՐԱՆ*(далее — Заказчик) процедуре закупок под кодом ԼՄՓՀ-ԷԱՃԱՊՁԲ-26/11*.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ԼՈՌՈՒ ՄԱՐԶԻ ՓԱՄԲԱԿԻ ՀԱՄԱՅՆՔԱՊԵՏԱՐԱՆ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- 900234000074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ԼՄՓՀ-ԷԱՃԱՊՁԲ-26/11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^paymanagir:0_ru^</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^paymanagir:1_ru^</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^paymanagir:2_ru^</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^paymanagir:5_ru^</w:t>
      </w:r>
      <w:r w:rsidR="0017004E" w:rsidRPr="00E4651F">
        <w:rPr>
          <w:rFonts w:cstheme="minorHAnsi"/>
          <w:lang w:val="hy-AM"/>
        </w:rPr>
        <w:t>(</w:t>
      </w:r>
      <w:r w:rsidR="00C94657" w:rsidRPr="00C94657">
        <w:rPr>
          <w:rFonts w:cstheme="minorHAnsi"/>
          <w:lang w:val="hy-AM"/>
        </w:rPr>
        <w:t>^paymanagir:6_ru^</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^paymanagir:7_ru^</w:t>
      </w:r>
      <w:r w:rsidRPr="00E4651F">
        <w:rPr>
          <w:rFonts w:cstheme="minorHAnsi"/>
          <w:color w:val="000000" w:themeColor="text1"/>
          <w:lang w:val="ru-RU"/>
        </w:rPr>
        <w:t xml:space="preserve"> (</w:t>
      </w:r>
      <w:r w:rsidR="00091D85" w:rsidRPr="00091D85">
        <w:rPr>
          <w:rFonts w:cstheme="minorHAnsi"/>
          <w:lang w:val="hy-AM"/>
        </w:rPr>
        <w:t>^paymanagir:8_ru^</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^paymanagir:9_ru^</w:t>
      </w:r>
      <w:r w:rsidRPr="00E4651F">
        <w:rPr>
          <w:rFonts w:cstheme="minorHAnsi"/>
          <w:color w:val="000000" w:themeColor="text1"/>
          <w:lang w:val="ru-RU"/>
        </w:rPr>
        <w:t>(</w:t>
      </w:r>
      <w:r w:rsidR="00987B00" w:rsidRPr="00987B00">
        <w:rPr>
          <w:rFonts w:cstheme="minorHAnsi"/>
          <w:lang w:val="hy-AM"/>
        </w:rPr>
        <w:t>^paymanagir:10_ru^</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^paymanagir:11_ru^</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^paymanagir:12_ru^</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^paymanagir:13_ru^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^paymanagir:14_ru^</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^paymanagir:15_ru^</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^paymanagir:16_ru^</w:t>
      </w:r>
    </w:p>
    <w:p w:rsidR="00812F10" w:rsidRPr="00E4651F" w:rsidRDefault="001B6358" w:rsidP="00F42783">
      <w:pPr>
        <w:tabs>
          <w:tab w:val="left" w:pos="1276"/>
        </w:tabs>
        <w:rPr>
          <w:rFonts w:cstheme="minorHAnsi"/>
        </w:rPr>
      </w:pPr>
      <w:r w:rsidRPr="001B6358">
        <w:rPr>
          <w:rFonts w:cstheme="minorHAnsi"/>
          <w:lang w:val="hy-AM"/>
        </w:rPr>
        <w:lastRenderedPageBreak/>
        <w:t>^paymanagir:17_ru^</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^paymanagir:18_ru^</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^paymanagir:19_ru^</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^paymanagir:20_ru^</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^paymanagir:21_ru^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գոմաղբ ցրող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Тип транспортного средства: полуприцеп
Грузоподъемность, 8-10 м³
Объем кузова, 8-12 м³
Габариты, мм:
- Длина: 3500-5500
- Ширина: 2200-3000
Высота: 2200-2400
Вес: 2000-2800 кг
Высота погрузки, мм. 1800-2200
Конвейерная цепь, шарнирное соединение
Эффективность разбрасывания (м³/ч) 45-85
Ширина разбрасывания (м) 5-8
Требуемая мощность трактора (л.с.) 80-150
Положение поворота: вертикальное
Ширина внесения удобрений, м 4-8
Грузоподъемность, кг 3000-4000
Производительность разбрасывания, т/ч 18-23
Дышло: дозвуковое
Механизм дозирования: 2 вертикальных винта, съемные
Механизм подачи конвейера
Регулировка дозировки удобрений и ширины внесения: Да
Перепускной клапан: Да
Тип тормозной системы: однолинейная пневматическая
Стояночный тормоз с механической трансмиссией
Рабочая скорость, км/ч, 10-15
Скорость внесения, т/га (бесступенчатая регулировка): 10-60
Ширина внесения удобрений, м: 10-13
Секционные агрегаты с тракторами 2-го класса грузоподъемности:
Возможность установки дополнительных досок для увеличения объема кузова: Да
Гарантия: 12 месяцев.
Официальная гарантия производителя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Республики Армения, село Памбак, 1-я улица, дом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25,07,2026թ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16141200/1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գոմաղբ ցրող մեքենաներ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