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ԱՍՀՆ-ԷԱՃԱՊՁԲ-26/38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труда и социальных вопросов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Площадь Республики Дом Правительства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Լիանա Մկրտչյան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liana.mkrtchyan@mlsa.am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010300124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труда и социальных вопросов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ԱՍՀՆ-ԷԱՃԱՊՁԲ-26/38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компьютерного оборудования для нужд Министерства труда и социальных дел Республики Армения.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труда и социальных вопросов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ԱՍՀՆ-ԷԱՃԱՊՁԲ-26/38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liana.mkrtchyan@mlsa.am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компьютерного оборудования для нужд Министерства труда и социальных дел Республики Армения.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5.26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2026.06.30.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ԱՍՀՆ-ԷԱՃԱՊՁԲ-26/38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ԱՍՀՆ-ԷԱՃԱՊՁԲ-26/38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ԱՍՀՆ-ԷԱՃԱՊՁԲ-26/38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ԱՍՀՆ-ԷԱՃԱՊՁԲ-26/38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труда и социальных вопросов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"ԱՍՀՆ-ԷԱՃԱՊՁԲ-26/38"*</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труда и социальных вопросов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ԱՍՀՆ-ԷԱՃԱՊՁԲ-26/38</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"ԱՍՀՆ-ԷԱՃԱՊՁԲ-26/38"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ԱՍՀՆ-ԷԱՃԱՊՁԲ-26/38*.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ԱՍՀՆ-ԷԱՃԱՊՁԲ-26/38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"ԱՍՀՆ-ԷԱՃԱՊՁԲ-26/38"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ԱՍՀՆ-ԷԱՃԱՊՁԲ-26/38*.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ԱՍՀՆ-ԷԱՃԱՊՁԲ-26/38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HP, Lenovo или Dell։ В комплект входят клавиатура и мышь.
Тип: Моноблочный компьютер
Экран: 23,8 дюйма
Разрешение: не менее Full HD (1920 × 1080)
Матрица: IPS
Частота обновления: не менее 60 Гц
Яркость: не менее 250 нит
Процессор:
Intel Core i5 не менее 13-го поколения
Количество ядер: не менее 10
Графическая система:
Intel UHD Graphics (встроенная)
Оперативная память:
Не менее 16 ГБ DDR4 / DDR5
Расширяемая: не менее 32 ГБ
Накопитель:
SSD не менее 512 ГБ
Подключение:
Wi-Fi 6 / Wi-Fi 6E
Bluetooth 5.3
Gigabit Ethernet (RJ-45)
Камера и аудио:
Встроенная, не менее 5 МП Веб-камера
Два микрофона
Встроенные динамики
Порты
USB-C 3.2, USB-A 3.2, HDMI 1.4
DisplayPort 1.4a, RJ-45 Ethernet
Комбинированный аудиоразъем 3,5 мм Операционная система
Windows 11 Pro (лицензионная)
При поставке продукции компания-поставщик обязана предоставить от имени производителя (MAF – Форма разрешения производителя) или уполномоченной им организации в Республике Армения (DAF – Форма разрешения дистрибьютора) письмо-разрешение.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подписания соглашения о выделении финансовых ресурсов, но не позднее 25.12.2026.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ԱՍՀՆ-ԷԱՃԱՊՁԲ-26/38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