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HHQK- EAAPDzB-26/9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по градостроительству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Площадь Республики, Дом Правительства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Источники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gayane.hakobyan14@mail.ru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011621821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по градостроительству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HHQK- EAAPDzB-26/9</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по градостроительству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по градостроительству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Источники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Источники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Комитет по градостроительству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HHQK- EAAPDzB-26/9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gayane.hakobyan14@mail.ru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Источники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по градостроительству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"HHQK- EAAPDzB-26/9"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 EAAPDzB-26/9*.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"HHQK- EAAPDzB-26/9"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 EAAPDzB-26/9*.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HHQK- EAAPDzB-26/9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предпоследний рабочий день</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w:t>
      </w:r>
      <w:r w:rsidRPr="00E4651F">
        <w:rPr>
          <w:rFonts w:cstheme="minorHAnsi"/>
          <w:color w:val="000000" w:themeColor="text1"/>
          <w:lang w:val="ru-RU"/>
        </w:rPr>
        <w:t>(</w:t>
      </w:r>
      <w:r w:rsidR="00987B00" w:rsidRPr="00987B00">
        <w:rPr>
          <w:rFonts w:cstheme="minorHAnsi"/>
          <w:lang w:val="hy-AM"/>
        </w:rPr>
        <w:t>ноль целых одна десятая</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Линейно-интерактивный источник бесперебойного питания.
Входное напряжение: регулируемое 145-295 Вольт, однофазный, автоматическая регулировка напряжения (АВИ), частота 50 Гц ± 5%.
Выходное напряжение: регулируемое 220-240 В, мощность: не менее 850 ВА, частота 50 Гц ± 1% (коэффициент амплитуды 3:1), не менее 2 розеток Schuko или 2 универсальных розеток, время работы от батареи не менее 10-20 минут, допустимая рабочая температура 0-40°C, сетевой шнур в комплекте соответствует стандартам Республики Армения. Гарантийный срок: не менее 365 календарных дней на устройство и 180 календарных дней на батарею.
Гарантийное обслуживание должно производиться в сервисных центрах, расположенных в Республике Армения и аккредитованных производителем (информация о сервисных центрах также предоставляется при подаче технических характеристик предлагаемого изделия, как указано в приглашении).
*** Товар должен быть доставлен по адресу Дом Правительства РА № 3, 4 этаж.
****Срок поставки товара в течение 20 дняа после подписания договора, если Продавец не согласен поставить товар в более короткий срок. Срок поставки не может быть позднее 20 декабря текущего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3-ий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