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ՀԱՊԱԿ-ԷԱՃԱՊՁԲ-2026/18</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14:05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Changan Deepal S07 или S05 /2026/, или BYD Sea Lione или Dongfeng Forthing T5 или Geely EX5 EM-R (2026)
• Кузов: внедорожник/кроссовер
• Тип – гибридный /электрический и бензиновый двигатель внутреннего сгорания/
• Двигатель – электродвигатель не менее 10 кВт, бензиновый двигатель – 1,5 л
• Мощность – максимум 250 л.с.
Предлагаемый автомобиль должен быть легковым автомобилем класса кроссовер, гибридного типа /электрический и бензиновый двигатель внутреннего сгорания/, который должен быть оснащен:
• Возможностью работы на полностью заряженном двигателе – не менее 600 км.
• Современными системами безопасности.
• Камерой заднего вида, не менее 4 подушек безопасности.
• Цифровым мультимедийным и интеллектуальным управлением.
• Гибридным бензиновым двигателем объемом не менее 1,5 л, без турбонаддува.
• Цвет: черный или темно-синий, цвет салона: темный оттенок
• Гарантия не менее 3 лет или 150 000 км пробега.
Выбранный участник должен быть официальным представителем данного автомобиля в Республике Армения и иметь как минимум один технический сервисный центр.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