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կենտրոն&gt;&gt; ՓԲԸ-ի կարիքների համար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Մադոյան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diana.madoyan@yeolyan.org</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կենտրոն&gt;&gt; ՓԲԸ-ի կարիքների համար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կենտրոն&gt;&gt; ՓԲԸ-ի կարիքների համար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diana.madoyan@yeolyan.org</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կենտրոն&gt;&gt; ՓԲԸ-ի կարիքների համար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ՅԱԿ-ԷԱՃԱՊՁԲ-26/66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&lt;&lt;Յոլյան արյունաբանության և ուռուցքաբանության կենտրոն&gt;&gt; ՓԲԸ-ի կարիքների համար վառելիքի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Օկտանային թիվը որոշված՝ հետազոտական մեթոդով` ոչ պակաս 91: Շարժիչային մեթոդով` ոչ պակաս 81: Կապարի պարունակությունը 5 մգ/դմ³-ից ոչ ավելի: Խտությունը` 15 °C ջերմաստիճանում` 720-775 կգ/մ³: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 կազմակերպությունը պետք է ունենա առնվազն մեկական լցակայան ք․ Երևան Արաբկիր և Քանաքեռ-Զեյթուն վարչական շրջաններում, ք․ Գորիսում, ք․ Գյումրիում, ք․ Վանաձորում, ք․ Արմավիրում և ք․ Հրազդանում։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