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ԵԱՍՄ-ԷԱՃԱՊՁԲ-26/31 ծածկագրով շարժիչի յուղերի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ԵԱՍՄ-ԷԱՃԱՊՁԲ-26/31 ծածկագրով շարժիչի յուղերի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ԵԱՍՄ-ԷԱՃԱՊՁԲ-26/31 ծածկագրով շարժիչի յուղերի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ԵԱՍՄ-ԷԱՃԱՊՁԲ-26/31 ծածկագրով շարժիչի յուղերի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շարժիչի յուղեր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ԵԱՍՄ-ԷԱՃԱՊՁԲ-26/31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ԵԱՍՄ-ԷԱՃԱՊՁԲ-26/31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«ԵԱՍՄ-ԷԱՃԱՊՁԲ-26/31»*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ԵԱՍՄ-ԷԱՃԱՊՁԲ-26/31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«ԵԱՍՄ-ԷԱՃԱՊՁԲ-26/31»*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ԵԱՍՄ-ԷԱՃԱՊՁԲ-26/31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15W40 նախատեսված դիզելային շարժիչների համար։ Միջազգային ստանդարտներ՝ API CK-4 և ACEA E9 (Cummins CES 20086), MANN M 3575 , VOLVO VDS -4,5, CATERPILLAR ECF -3  համապատասխան կամ համարժեք, ինչպես նաև նախատեսված EURO-V  արտանետումների պահանջներին համապատասխան: Օգտագործումը՝ նախատեսված տարվա բոլոր եղանակների համար։ Բյուրեղացման ջերմաստիճանը՝ ոչ ցածր --40 C-ից։ Բռնկման ջերմաստիճանը՝ ոչ ցածր 220 C-ից։ Կինեմատիկական մածուցիկությունը՝ 100 C-ում ոչ պակաս 15.0-ից, և 40 C-ում՝ ոչ պակաս 100-ից։ Մածուցիկության ինդեքսը՝ ոչ պակաս 155-ից։ Խտությունը 20 C-ում՝ ոչ պակաս 0,850-ից։ Ալկալային միացությունների քանակը / (mg KOH/g) (միլիգրամ կալիումի հիդրօքսի մեկ գրամ յուղի համար)/՝ ոչ պակաս 9  մգ KOH/գ-ից։ Քիմիական բաղադրությունը՝ հանքային։ Երաշխիքային ժամկետը՝ ոչ պակաս 2 տարի։ Յուղերը պետք է լինեն եվրոմիության անդամ պետությունների կամ Մեծ Բրիտանիայի,Շվեյցարիայի, Ճապոնիայի, ԱՄՆ երկրների արտադրության։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շարժիչի յուղից։  Պահանջներին համապատասխանող արտադրողների շարժիչային յուղերի օրինակներ՝   (համարժեքությունը պետք է հիմնավորի մասնակիցը):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Արտադրության տարեթիվը՝ 2025 թ.-ի 2-րդ կիսամյակից ոչ շուտ։ Փաթեթավորումը՝ 200-210 լիտր տարրաներով, կապարակնքված արտադրողի կողմից։ Պարտադիր պայման՝ յուրաքանչուր մատակարարված տարրայի հետ պետք է լինի տարրային համապատասխանող ձեռքի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SAE 10W-40 API CK-4/CJ-4
 ACEA E8/E11, ժամկետը՝ ոչ պակաս 2 տարի։ Յուղերը պետք է լինեն եվրոմիության անդամ պետությունների կամ Մեծ Բրիտանիայի,Շվեյցարիայի, Ճապոնիայի, ԱՄՆ երկրների արտադրության։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շարժիչի յուղից։  Պահանջներին համապատասխանող արտադրողների շարժիչային յուղերի օրինակներ՝   (համարժեքությունը պետք է հիմնավորի մասնակիցը):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Արտադրության տարեթիվը՝ 2025 թ.-ի 2-րդ կիսամյակից ոչ շուտ։ Փաթեթավորումը՝ 200-210 լիտր տարրաներով, կապարակնքված արտադրողի կողմից։ Պարտադիր պայման՝ յուրաքանչուր մատակարարված տարրայի հետ պետք է լինի տարրային համապատասխանող ձեռքի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20W50 նախատեսված դիզելային շարժիչների համար։ Միջազգային ստանդարտներ՝ API CI-4 և ACEA E7 (Cummins CES 20078), MANN M 3275-1 , MB 228.3, CATERPILLAR ECF -1/ECF-2  համապատասխան կամ համարժեք, ինչպես նաև նախատեսված EURO-V  արտանետումների պահանջներին համապատասխան: Օգտագործումը՝ նախատեսված տարվա բոլոր եղանակների համար։ Բյուրեղացման ջերմաստիճանը՝ ոչ ցածր --25C-ից։ ։ Բռնկման ջերմաստիճանը՝ ոչ ցածր 220 C-ից։ Կինեմատիկական մածուցիկությունը՝ 100 C-ում ոչ պակաս 18.0-ից, և 40 C-ում՝ ոչ պակաս 150-ից։ Մածուցիկության ինդեքսը՝ ոչ պակաս 225-ից։ Խտությունը 15C-ում՝ ոչ պակաս 0,875-ից։ Ալկալային միացությունների քանակը / (mg KOH/g) (միլիգրամ կալիումի հիդրօքսի մեկ գրամ յուղի համար)/՝ ոչ պակաս 10 մգ KOH/գ-ից։ Քիմիական բաղադրությունը՝ հանքային։ Երաշխիքային ժամկետը՝ ոչ պակաս 2 տարի։ Յուղերը պետք է լինեն եվրոմիության անդամ պետությունների կամ Մեծ Բրիտանիայի,Շվեյցարիայի, Ճապոնիայի, ԱՄՆ երկրների արտադրության։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շարժիչի յուղից։  Պահանջներին համապատասխանող արտադրողների շարժիչային յուղերի օրինակներ՝   (համարժեքությունը պետք է հիմնավորի մասնակիցը):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Արտադրության տարեթիվը՝ 2025 թ.-ի 2-րդ կիսամյակից ոչ շուտ ։ Փաթեթավորումը՝ 200-210 լիտր տարրաներով, կապարակնքված արտադրողի կողմից: Պարտադիր պայման՝ յուրաքանչուր մատակարարված տարրայի հետ պետք է լինի տարրային համապատասխանող ձեռքի պոմպ: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21 օրացուցային օրվա ընթացքում 3-րդ եռամսյակում առնվազն 5000 լիտր, 4-րդ եռամսյակում 5000 լիտր: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21 օրացուցային օրվա ընթացքում 3-րդ եռամսյակում առնվազն 7800 լիտր, 4-րդ եռամսյակում 7800 լիտր: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21 օրացուցային օրվա ընթացքում 3-րդ եռամսյակում առնվազն 4250 լիտր, 4-րդ եռամսյակում 4250 լիտր: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