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масел, смазочного масла и электрических аккумуляторов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ԲԷՑ-ԷԱՃԱՊՁԲ-26/18</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масел, смазочного масла и электрических аккумуляторов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масел, смазочного масла и электрических аккумуляторов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масел, смазочного масла и электрических аккумуляторов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Степень вязкости 85W140. Соответствие международному стандарту API GL-5,  обязательны  наличие сертификатов качества. В таре 1 л., в заводской упаковке.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должно соответствовать международному стандарту HVLP ISO VG 46. Наличие сертификатов  Rexroth Boschgroup, Parker обязательны. В таре 10 л., в заводской упаковке.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должно соответствовать международному стандарту HVLP ISO VG 46. Наличие сертификатов  Rexroth Boschgroup, Parker обязательны. В таре 10 л., в заводской упаковке.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должно соответствовать международному стандарту HVLP ISO VG 46. Наличие сертификатов  Rexroth Boschgroup, Parker обязательны. В таре 10 л., в 
заводской упаковке.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6ct190A – 12V, размер (513ммx225ммx225мм) ± 10мм стартерный свинцово-кислотный, накапливающий аккумулятор, предусмотренный для автомобилей марки КамАЗ; ГОСТ 2911–91: согласно постановлению Правительства РА N 519-Ն от 12 апреля 2024г.
Год производства аккумулятора – 2026г.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Дата изготовления аккумуляторов должна быть не менее 3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6ct80-85A– 12V, размер (270ммx175ммx195мм) ± 10мм стартерный свинцово-кислотный, накапливающий аккумулятор, предусмотренный для легковых автомобилей; ГОСТ 2911–91: согласно постановлению Правительства РА N 519-Ն от 12 апреля 2024г. 
Год производства аккумулятора – 2026г.
 Предоплата не предусматривается.
Перевозку и разгрузку товара осуществляет Продавец.
Товары должны быть неиспользованными.
Участник должен предоставить информацию  о предлагаемом им товарном знаке, производителе, стране   происхождения.
На все лоты предоставляется гарантийный срок в 365 календарных дней, начиная со дня, следующего за днем получения товаров.
Дата изготовления аккумуляторов должна быть не менее 3 месяцев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տրանսմիսիոն SAE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 հիդրավլիկ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190A)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մարտկոց (6CT 80A)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