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ԵԱ-ԷԱՃԱՊՁԲ-26/34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ավտոբուս»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Թևոսյան փ.9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Ավտոբուս» ՓԲԸ-ի կարիքների համար քսայուղերի ձեռքբերման նպատակով ԵԱ-ԷԱՃԱՊՁԲ-26/34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ավտոբուս»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ԵԱ-ԷԱՃԱՊՁԲ-26/34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ավտոբուս»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ավտոբուս»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Ավտոբուս» ՓԲԸ-ի կարիքների համար քսայուղերի ձեռքբերման նպատակով ԵԱ-ԷԱՃԱՊՁԲ-26/34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ավտոբուս»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Ավտոբուս» ՓԲԸ-ի կարիքների համար քսայուղերի ձեռքբերման նպատակով ԵԱ-ԷԱՃԱՊՁԲ-26/34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ԵԱ-ԷԱՃԱՊՁԲ-26/34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Ավտոբուս» ՓԲԸ-ի կարիքների համար քսայուղերի ձեռքբերման նպատակով ԵԱ-ԷԱՃԱՊՁԲ-26/34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յուղ՝ քսուք Լիտոլ-24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2026.06.30.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ավտոբուս»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ԵԱ-ԷԱՃԱՊՁԲ-26/34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ԵԱ-ԷԱՃԱՊՁԲ-26/34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«ԵԱ-ԷԱՃԱՊՁԲ-26/34»*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«ԵԱ-ԷԱՃԱՊՁԲ-26/34»*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«ԵՐԵՎԱՆԻ ԱՎՏՈԲՈՒՍ»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յուղ՝ քսուք Լիտոլ-24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Կինեմատիկ մածուցիկությունը
մինուս 20 աստիճան C դեպքում՝ ոչ ավել 650: Կինեմատիկ
մածուցիկությունը 0 աստիճան C դեպքում՝ ոչ ավել 280: Կինեմատիկ
մածուցիկությունը 50 աստիճան C դեպքում՝ ոչ պակաս 8: Ջրի
պարունակությունը՝ բացակա: Պենետրացիան 25 աստիճան C դեպքում՝
220-250 մմ*(10-1): Գոլորշիացումը 120 աստիճան C դեպքում՝ 6%-ից ոչ ավել:
18-20 կգ տարաներով, կապարակնքված արտադրողի կողմից:
Արտադրության տարեթիվը՝ ոչ պակաս 2026թ-ից:
Ապրանքները պետք է լինեն նոր, չօգտագործված, գործարանային փաթեթավորմամբ։ Տեղափոխումն ու բեռնաթափումն
իրականացնում է մատակարարը: Մատակարարը պարվիրատուին
 ներկայացնում է նաև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Циатим 221F;     Ուլտրադիսպերս, պոլիտետրաֆտորէթիլենային քսանյութ:  1. Արտաքին տեսքը՝ սպիտակաշագանակագույն համասեռ զանգված;
2. Կաթիլանկման ջերմաստիճան, ոչ քիչ, քան 200 C;
3. Գոլոշիացում 1 ժ  ընթացքում՝
150 C -300 C՝  2%
4․ Ջրի պարունակություն՝ Բացակա
5․ Մեխանիկական խառնուրդներ`       Բացակա
6․ Կոռոզիոն առաջացնելու հակում` Բացակա
7․Կոլոիդ կայունություն ,%-անջատված յուղից, ոչ ավել,քան 7%
8. Ներթափանցման հատկություն  25C` 280-360 *10-1
9. Էֆեկտիվ մածուցիկությունը դեֆորմացիայի ժամանակ ПА 10c-1. -50 C  դեպքում, ոչ ավել, քան 800, 0 C դեպքում` 80-200, 20 C դեպքում`                             40-100
10. Ամրության   սահման, ПА. 20 C` 250-450, 50 C`  ոչ քիչ, քան 120, 80C` 60-150
11․ Յուղման հատկությունները 20 C. 
Կրիտիկական բեռնվածք Н` 600
Եռման   բեռնվածք Н` 3800
12․ Մեխանիկական կայունություն  20C, ПА.
Կայունության նախնական խզման սահման` 350—1000
Քայքայման ինդեքս  %` 75-85
Վերականգնման ինդեքս %` 30-120
13.  Արտադրության տարեթիվը՝ ոչ պակաս 2026թ-ից: Ապրանքները պետք է լինեն նոր, չօգտագործված, գործարանային փաթեթավորմամբ։ Տեղափոխումն ու բեռնաթափումն
իրականացնում է մատակարարը: Մատակարարը պարվիրատուին
 ներկայացնում է նաև ապրանքն արտադրողից կամ
վերջինիս ներկայացուցչից երաշխիքային նամակ կամ
համապատասխանության սերտիֆիկատ: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պայմանագրի/համաձայնագրի ուժի մեջ մտնելուց` յուրաքանչյուր անգամ ըստ Պատվիրատուի պահանջի 20 օրացուցային օրվա ընթացքում՝ 1 տարի ժամկետով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պայմանագրի/համաձայնագրի ուժի մեջ մտնելուց` յուրաքանչյուր անգամ ըստ Պատվիրատուի պահանջի 20 օրացուցային օրվա ընթացքում՝ 1 տարի ժամկետով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