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ԵԱ-ԷԱՃԱՊՁԲ-26/34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«Еревани автобус»</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Тевосян 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ԵԱ-ԷԱՃԱՊՁԲ-26/34 для нужд ЗАО «Еревани автобус».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«Еревани автобус»</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ԵԱ-ԷԱՃԱՊՁԲ-26/34</w:t>
      </w:r>
      <w:r w:rsidRPr="00E4651F">
        <w:rPr>
          <w:rFonts w:asciiTheme="minorHAnsi" w:hAnsiTheme="minorHAnsi" w:cstheme="minorHAnsi"/>
          <w:i/>
        </w:rPr>
        <w:br/>
      </w:r>
      <w:r w:rsidR="00A419E4" w:rsidRPr="00E4651F">
        <w:rPr>
          <w:rFonts w:asciiTheme="minorHAnsi" w:hAnsiTheme="minorHAnsi" w:cstheme="minorHAnsi"/>
          <w:szCs w:val="20"/>
          <w:lang w:val="af-ZA"/>
        </w:rPr>
        <w:t>2026.06.17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«Еревани автобус»</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«Еревани автобус»</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ԵԱ-ԷԱՃԱՊՁԲ-26/34 для нужд ЗАО «Еревани автобус».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ԵԱ-ԷԱՃԱՊՁԲ-26/34 для нужд ЗАО «Еревани автобус».</w:t>
      </w:r>
      <w:r w:rsidR="00812F10" w:rsidRPr="00E4651F">
        <w:rPr>
          <w:rFonts w:cstheme="minorHAnsi"/>
          <w:b/>
          <w:lang w:val="ru-RU"/>
        </w:rPr>
        <w:t xml:space="preserve">ДЛЯ НУЖД </w:t>
      </w:r>
      <w:r w:rsidR="0039665E" w:rsidRPr="0039665E">
        <w:rPr>
          <w:rFonts w:cstheme="minorHAnsi"/>
          <w:b/>
          <w:u w:val="single"/>
          <w:lang w:val="af-ZA"/>
        </w:rPr>
        <w:t>ЗАО «Еревани автобус»</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ԵԱ-ԷԱՃԱՊՁԲ-26/34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ԵԱ-ԷԱՃԱՊՁԲ-26/34 для нужд ЗАО «Еревани автобус».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Пластичное масло — смазка Литол-24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Смазочное масло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5.0357</w:t>
      </w:r>
      <w:r>
        <w:rPr>
          <w:rFonts w:ascii="Calibri" w:hAnsi="Calibri" w:cstheme="minorHAnsi"/>
          <w:szCs w:val="22"/>
        </w:rPr>
        <w:t xml:space="preserve"> драмом, евро </w:t>
      </w:r>
      <w:r>
        <w:rPr>
          <w:rFonts w:ascii="Calibri" w:hAnsi="Calibri" w:cstheme="minorHAnsi"/>
          <w:lang w:val="af-ZA"/>
        </w:rPr>
        <w:t>426.84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ԵԱ-ԷԱՃԱՊՁԲ-26/34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«Еревани автобус»</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ԵԱ-ԷԱՃԱՊՁԲ-26/34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ԵԱ-ԷԱՃԱՊՁԲ-26/34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«Еревани автобус»*(далее — Заказчик) процедуре закупок под кодом ԵԱ-ԷԱՃԱՊՁԲ-26/34*.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«Еревани автобус»*(далее — Заказчик) процедуре закупок под кодом ԵԱ-ԷԱՃԱՊՁԲ-26/34*.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ԵԱ-ԷԱՃԱՊՁԲ-26/34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Пластичное масло — смазка Литол-24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Кинематическая вязкость при минус 20°C: не более 650. Кинематическая вязкость при 0°C: не более 280. Кинематическая вязкость при 50°C: не менее 8. Содержание воды: отсутствует. Пенетрация при 25°C: 220-250 мм*(10⁻¹). Испарение при 120°C: не более 6%.
В контейнерах по 18-20 кг, запечатанных производителем.
Год производства: не позднее 2026.
Товар должен быть новым, неиспользованным, в заводской упаковке. Транспортировка и разгрузка осуществляются поставщиком. Поставщик также предоставляет покупателю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Смазочное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Смазка Циатим 221Ф; Ультрадисперсная политетрафторэтиленовая смазка. 1. Внешний вид: однородная масса бело-коричневого цвета;
2. Температура каплеобразования: не менее 200 °C;
3. Гольгоширование в течение 1 ч:
150 °C - 300 °C: 2%
4. Содержание воды: Отсутствует
5. Механические примеси: Отсутствуют
6. Коррозионная стойкость: Отсутствует
7. Коллоидная стабильность, % - отделено от масла: не более 7%
8. Проницаемость при 25 °C: 280-360 *10⁻¹
9. Эффективная вязкость при деформации PA 10c⁻¹. При -50 °C: не более 800, при 0 °C: 80-200, при 20 °C: 40-100
10. Предел прочности на растяжение, PA. 20°C: 250-450, 50°C: не менее 120, 80°C: 60-150
11. Смазывающие свойства при 20°C:
Критическая нагрузка Н: 600
Нагрузка при кипении Н: 3800
12. Механическая стабильность при 20°C, PA.
Начальная прочность на растяжение: 350—1000
Индекс деградации %: 75-85
Индекс восстановления %: 30-120
13. Дата производства: не позднее 2026 года. Продукция должна быть новой, неиспользованной, в заводской упаковке. Поставщик осуществляет транспортировку и разгрузку. Поставщик также предоставляет покупателю гарантийное письмо или сертификат соответствия от производителя товара или его представителя.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будет осуществляться с момента вступления в силу договора/соглашения, заключаемого между сторонами при условии выделения финансовых средств, и по каждой заявке Заказчика в течение 20 календарных дней — на срок 1 год.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будет осуществляться с момента вступления в силу договора/соглашения, заключаемого между сторонами при условии выделения финансовых средств, и по каждой заявке Заказчика в течение 20 календарных дней — на срок 1 год.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