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վառելիքի ձեռքբերման նպատակով ԵՄ-ԷԱՃԱՊՁԲ-26/63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վառելիքի ձեռքբերման նպատակով ԵՄ-ԷԱՃԱՊՁԲ-26/63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վառելիքի ձեռքբերման նպատակով ԵՄ-ԷԱՃԱՊՁԲ-26/63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վառելիքի ձեռքբերման նպատակով ԵՄ-ԷԱՃԱՊՁԲ-26/63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2026.06.30.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ԵՄ-ԷԱՃԱՊՁԲ-26/63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ԵՄ-ԷԱՃԱՊՁԲ-26/63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Ցետանային թիվը 51-ից ոչ պակաս: Ցետանային ցուցիչը 46-ից ոչ պակաս:
Խտությունը 15°C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55°C-ից ոչ ցածր:
Ածխածնի մնացորդը /կոքսելիությունը/ 10 % նստվածքում 0,3 %-ից ոչ ավելի: Մածուցիկությունը 40°C-ում` 2,0-ից մինչև 4,5 մմ2/վ: Պղտորման ջերմաստիճանը` 5°C-ից ոչ բարձր: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Մատակարարումը՝ կտրոնային եղանակաով, որոնք պետք է սպասարկվեն Երևանի բոլոր վարչական շրջաններում: Պարտադիր պայման է, որ լիցքավորման կետերից մեկը գտնվի Շիրակի և Արարատյան փողոցների հատման խաչմերուկից առավելագույնը 2000 մետր հեռավորության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 Օկտանային թիվը որոշված՝ հետազոտական մեթոդով` ոչ պակաս 91:
Շարժիչային մեթոդով` ոչ պակաս 81:
Կապարի պարունակությունը 5 մգ/դմ3-ից ոչ ավելի:
Խտությունը` 15°C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Մատակարարումը՝ կտրոնային եղանակաով, որոնք պետք է սպասարկվեն Երևանի բոլոր վարչական շրջաններում: Պարտադիր պայման է, որ լիցքավորման կետերից մեկը գտնվի Շիրակի և Արարատյան փողոցների հատման խաչմերուկից առավելագույնը 2000 մետր հեռավորության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 Օկտանային թիվը որոշված՝ հետազոտական մեթոդով` ոչ պակաս 95: 
Շարժիչային մեթոդով` ոչ պակաս 85:  
Կապարի պարունակությունը՝ 5 մգ/դմ3-ից ոչ ավելի:  
Խտությունը` 15°C ջերմաստիճանում` 720-775 կգ/մ3: 
Ծծմբի պարունակությունը` 10 մգ/կգ-ից ոչ ավելի: 
Ածխաջրածինների ծավալային մասը, ոչ ավելի՝ արո¬մատիկ – 35 %, օլեֆիններ - 18 %, բենզոլի ծավալային մասը 1 %-ից ոչ ավելի: 
Թթվածնի զանգվածային մասը` 2,7 %-ից ոչ ավելի, օքսիդիչների ծավալային մասը, ոչ ավելի` մեթանոլ - 3 %, էթանոլ - 5 %, իզոպրոպիլ սպիրտ – 10 %, իզոբութիլ սպիրտ - 10 %, եռաբութիլ սպիրտ - 7 %, եթերներ (C5 և ավելի) - 15 %, այլ օքսիդիչներ - 10 %: 
Մատակարարումը կտրոնային (10լ և 20լ կտրոններով): Կտրոնների վավերականության ժամկետը առնվազն մինչև 31.12.2027թ:
Բենզալցակայանների առկայություն ՀՀ բոլոր քաղաքներում: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