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ՀՀԱՄՄՀ-ԷԱՃԱՊՁԲ-26/113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ՀՀԱՄՄՀ-ԷԱՃԱՊՁԲ-26/113</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ՀՀԱՄՄՀ-ԷԱՃԱՊՁԲ-26/113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ՀՀԱՄՄՀ-ԷԱՃԱՊՁԲ-26/113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ՀՀԱՄՄՀ-ԷԱՃԱՊՁԲ-26/113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с 08:50 до 09:15;
Оплата за поставленный товар производится по фактически поставленному товару на основании счета-фактуры, акта приемки-передачи и акта о комплектации, выданных для поставленного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Приготовление из цельнозерновой муки (практически непросеянной или слегка просеянной), содержание золы: 1,5–2,0% (выше, чем у белой муки: 0,55–0,75%), влажность (после выпечки) 42–48%, кислотность: 3,0–4,0° (относительно высокая), производительность выпечки: ниже, хлеб получается более плотным и менее пышным, чем обычно, цвет готового хлеба от темно-коричневого до темно-бежевого, имеет характерный запах и вкус хлеба, плотность выше: около 0,35–0,50 г/см³; Пищевая ценность (100 г): калории: 220–250 ккал, углеводы: ~40–45 г, белки: ~8–10 г, жиры: ~2–3 г, клетчатка: ~6–8 г. AST 31-99. Безопасность: соответствует гигиеническим нормам № 2-III-4.9-01-2010 и статье 8 Закона Республики Армения «О безопасности пищевых продуктов». Остаточный срок годности не менее 90%. Доставка осуществляется Покупателем по предварительному заказу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с 08:50 до 09:15;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низкое содержание жира (максимум 2,5%),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