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ավտոմեքենաների անիվների ձեռքբերման նպատակով ՀՀՊԾ-ԷԱՃԱՊՁԲ-26/16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ավտոմեքենաների անիվների ձեռքբերման նպատակով ՀՀՊԾ-ԷԱՃԱՊՁԲ-26/16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ավտոմեքենաների անիվների ձեռքբերման նպատակով ՀՀՊԾ-ԷԱՃԱՊՁԲ-26/16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ավտոմեքենաների անիվների ձեռքբերման նպատակով ՀՀՊԾ-ԷԱՃԱՊՁԲ-26/16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ամառային Ծանրաբեռնվածության ինդեքսը ոչ պակաս 86,արագության ինդեքսը ոչ պակաս H, առանց օդախցիկի, գույնը` սև,անվադողի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185/65 R14  ձմեռային Ծանրաբեռնվածության ինդեքսը ոչ պակաս 86,արագության ինդեքսը ոչ պակաս H, , առանց օդախցիկի, գույնը` սև,անվադողի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 R15 ամառային Ծանրաբեռնվածության ինդեքսը ոչ պակաս 91,արագության ինդեքսը ոչ պակաս V, , առանց օդախցիկի, գույնը` սև,անվադողի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195/65 R15 ձմեռային Ծանրաբեռնվածության ինդեքսը ոչ պակաս 91,արագության ինդեքսը ոչ պակաս H, , առանց օդախցիկի, գույնը` սև,անվադողի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 R16 ամառային Ծանրաբեռնվածության ինդեքսը ոչ պակաս 91,արագության ինդեքսը ոչ պակաս V,  առանց օդախցիկի, գույնը` սև,անվադողի արտադրության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 R16 ձմեռային Ծանրաբեռնվածության ինդեքսը ոչ պակաս 91,արագության ինդեքսը ոչ պակաս H,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 R16 ամառային Ծանրաբեռնվածության ինդեքսը ոչ պակաս 97,արագության ինդեքսը ոչ պակաս W,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 R16 ձմեռային Ծանրաբեռնվածության ինդեքսը ոչ պակաս 93,արագության ինդեքսը ոչ պակաս H,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 R16 ամառային Ծանրաբեռնվածության ինդեքսը ոչ պակաս 95,արագության ինդեքսը ոչ պակաս H,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 R16 ձմեռային Ծանրաբեռնվածության ինդեքսը ոչ պակաս 95,արագության ինդեքսը ոչ պակաս T,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205/65 R15 ամառային Ծանրաբեռնվածության ինդեքսը ոչ պակաս 94,արագության ինդեքսը ոչ պակաս V,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205/65 R15 ձմեռային Ծանրաբեռնվածության ինդեքսը ոչ պակաս 94,արագության ինդեքսը ոչ պակաս S,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 R17 ամառային Ծանրաբեռնվածության ինդեքսը ոչ պակաս 98,արագության ինդեքսը ոչ պակաս W, առանց օդախցիկի, գույնը` սև, անվադողի արտադրության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 R17 ձմեռային Ծանրաբեռնվածության ինդեքսը ոչ պակաս 98,արագության ինդեքսը ոչ պակաս H, առանց օդախցիկի, գույնը` սև, անվադողի արտադրության տարեթիվը 2025թ.- 2025թ.: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265/70 R16 Ծանրաբեռնվածության ինդեքսը ոչ պակաս 112,արագության ինդեքսը ոչ պակաս S, առանց օդախցիկի, գույնը` սև, անվադողի արտադրության տարեթիվը ոչ ուշ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265/70 R16 Ծանրաբեռնվածության ինդեքսը ոչ պակաս 112,արագության ինդեքսը ոչ պակաս S, առանց օդախցիկի, գույնը` սև, անվադողի արտադրության տարեթիվը ոչ ուշ 2025թ.: Չօգտագործված: Տեխնիկական պահանջները, անվտանգությունը, մակնշումը և փաթեթավորումը` ՀՀ կառավարության 2004թ. նոյեմբերի 11-ի N 1558-Ն որոշմամբ հաստատված «Օդաճնշական դողերի տեխնիկական կանոնակարգի»: Նշված բոլոր բնութագրերը անվադողի վրա պետք է միջազգային նորմերին համապատասխան դաջված լինի։ Ապրանքների փոխարինումը և անվահեծերի կարգաբերումը կամ մատակարարումը իրականացվում է Մատակարարի կողմից՝ ըստ Պատվիրատուի պահանջի, Երևան քաղաքում: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