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սպորտային համազգեստի ձեռքբերման նպատակով ՀԱԱՀ-ԷԱՃԱՊՁԲ-26/83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սպորտային համազգեստի ձեռքբերման նպատակով ՀԱԱՀ-ԷԱՃԱՊՁԲ-26/83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սպորտային համազգեստի ձեռքբերման նպատակով ՀԱԱՀ-ԷԱՃԱՊՁԲ-26/83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սպորտային համազգեստի ձեռքբերման նպատակով ՀԱԱՀ-ԷԱՃԱՊՁԲ-26/83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համազգեստ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1.Վոլեյբոլի՝  շապիկի և  անդրավարտիքի կտորի կազմը՝  բամբակ 30% և սինթետիկ 70%, անթև, գույնը ըստ պատվիրատուի պահանջի, չափսը` S - L ըստ պատվիրատուի պահանջի: Շապիկի թիկնամասում համարակալված  1-12 թվերը,  թվի չափսը՝ 15սմ: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