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ԵՔ-ԷԱՃԱՊՁԲ-26/276</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Нор Норк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должен соответствовать следующим минимальным техническим требованиям:
1. Процессор Intel Core i3, не ниже 13-го поколения, сокет LGA 1700, не менее 4 ядер, базовая частота не менее 3,3 ГГц и не менее 4,3 ГГц в турбо-режиме, с интегрированным графическим ядром, максимальная частота графического ядра 1400 МГц, TDP: 85-90 Вт, с системой охлаждения;
2. Материнская плата: чипсет H610 или эквивалентная, в соответствии с сокетом процессора и другими параметрами компьютера;
3. SSD-накопитель объемом не менее 256 ГБ;
4. Дополнительный жесткий диск – не менее 1 ТБ HDD; Сетевое подключение – Gigabit Ethernet;
5. Оперативная память не менее 16 ГБ, не ниже стандарта DDR4, не менее 2666 МГц;
6. Корпус компьютера в соответствии с компонентами компьютера, блок питания не менее 600 Вт.
Видеокарта – интегрированная. Минимальные подключения: 4 порта USB, HDMI или DisplayPort
Операционная система: совместима с Windows 10/11
7. Монитор: не менее 24 дюймов с минимальной частотой 75 Гц, LED, частота обновления: не менее 60 Гц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октября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