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вид-чистый и прозрачный,Октановое число-вычисленное методом анализа не менее 91,моторным методом- не менее 81, Давление насыщенных паров-45-100 килопаскалей, содержание свинца-не более 5 мг/дм3,обьемная доля бензола –не более 1%,плотность при температуре 150Ц -720-775 кг/м3,содержание серы- не более 10 мг/кг,массовая доля кислорода- не более 2,7%` обьемная доляокислителей не более,метанол3%,'этанол 5%,изопропиловыйспирт 10%,изобутиловый спирт -10%, , трибутил.спирт -7%,эфиры15%,др.окислит.-10%,безопасность,маркировка Согласно Решению Правительства РА N 1592-Н от 11.11.2004г.,,Технические условия топлива внутреннего сгорания.Обслуживание таллонами.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51,цетановый показатель не менее 46,плотность при температуре 15 гр.Ц -820-845 кг/м3,сод. Серы-не более 350 мг/кг,темп.вспышки-не менее550,сод.остатков углерода в 10% остатка –не более 0,3%,вязкость при   400- 2,0-4,5,темп.мутности-не более 000։ Обслуживание купонами в общине Капан Сюникской области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Ереван,Малхасянц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Ереван,Малхасянц 25 (Обслуживание купонов в городе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